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2D" w:rsidRDefault="00752DBF">
      <w:pPr>
        <w:rPr>
          <w:sz w:val="28"/>
          <w:szCs w:val="28"/>
        </w:rPr>
      </w:pPr>
      <w:r>
        <w:rPr>
          <w:rFonts w:hint="eastAsia"/>
          <w:sz w:val="28"/>
          <w:szCs w:val="28"/>
        </w:rPr>
        <w:t>附件</w:t>
      </w:r>
      <w:r>
        <w:rPr>
          <w:sz w:val="28"/>
          <w:szCs w:val="28"/>
        </w:rPr>
        <w:t>2:</w:t>
      </w:r>
    </w:p>
    <w:tbl>
      <w:tblPr>
        <w:tblW w:w="14049" w:type="dxa"/>
        <w:tblInd w:w="93" w:type="dxa"/>
        <w:tblLayout w:type="fixed"/>
        <w:tblLook w:val="04A0" w:firstRow="1" w:lastRow="0" w:firstColumn="1" w:lastColumn="0" w:noHBand="0" w:noVBand="1"/>
      </w:tblPr>
      <w:tblGrid>
        <w:gridCol w:w="672"/>
        <w:gridCol w:w="1346"/>
        <w:gridCol w:w="988"/>
        <w:gridCol w:w="894"/>
        <w:gridCol w:w="2397"/>
        <w:gridCol w:w="5363"/>
        <w:gridCol w:w="1466"/>
        <w:gridCol w:w="923"/>
      </w:tblGrid>
      <w:tr w:rsidR="0017162D" w:rsidTr="004B5E61">
        <w:trPr>
          <w:trHeight w:val="624"/>
        </w:trPr>
        <w:tc>
          <w:tcPr>
            <w:tcW w:w="14049" w:type="dxa"/>
            <w:gridSpan w:val="8"/>
            <w:vMerge w:val="restart"/>
            <w:tcBorders>
              <w:top w:val="nil"/>
              <w:left w:val="nil"/>
              <w:bottom w:val="nil"/>
              <w:right w:val="nil"/>
            </w:tcBorders>
            <w:vAlign w:val="center"/>
          </w:tcPr>
          <w:p w:rsidR="0017162D" w:rsidRDefault="00752DBF">
            <w:pPr>
              <w:widowControl/>
              <w:jc w:val="center"/>
              <w:rPr>
                <w:rFonts w:ascii="黑体" w:eastAsia="黑体" w:hAnsi="黑体" w:cs="宋体"/>
                <w:kern w:val="0"/>
                <w:sz w:val="40"/>
                <w:szCs w:val="40"/>
              </w:rPr>
            </w:pPr>
            <w:r>
              <w:rPr>
                <w:rFonts w:ascii="黑体" w:eastAsia="黑体" w:hAnsi="黑体" w:cs="宋体" w:hint="eastAsia"/>
                <w:kern w:val="0"/>
                <w:sz w:val="40"/>
                <w:szCs w:val="40"/>
              </w:rPr>
              <w:t>长</w:t>
            </w:r>
            <w:r>
              <w:rPr>
                <w:rFonts w:ascii="黑体" w:eastAsia="黑体" w:hAnsi="黑体" w:cs="宋体"/>
                <w:kern w:val="0"/>
                <w:sz w:val="40"/>
                <w:szCs w:val="40"/>
              </w:rPr>
              <w:t>春市商务</w:t>
            </w:r>
            <w:r>
              <w:rPr>
                <w:rFonts w:ascii="黑体" w:eastAsia="黑体" w:hAnsi="黑体" w:cs="宋体" w:hint="eastAsia"/>
                <w:kern w:val="0"/>
                <w:sz w:val="40"/>
                <w:szCs w:val="40"/>
              </w:rPr>
              <w:t>局“双随机一公开”抽查事项清单</w:t>
            </w:r>
          </w:p>
        </w:tc>
      </w:tr>
      <w:tr w:rsidR="0017162D" w:rsidTr="004B5E61">
        <w:trPr>
          <w:trHeight w:val="624"/>
        </w:trPr>
        <w:tc>
          <w:tcPr>
            <w:tcW w:w="14049" w:type="dxa"/>
            <w:gridSpan w:val="8"/>
            <w:vMerge/>
            <w:tcBorders>
              <w:top w:val="nil"/>
              <w:left w:val="nil"/>
              <w:bottom w:val="nil"/>
              <w:right w:val="nil"/>
            </w:tcBorders>
            <w:vAlign w:val="center"/>
          </w:tcPr>
          <w:p w:rsidR="0017162D" w:rsidRDefault="0017162D">
            <w:pPr>
              <w:widowControl/>
              <w:jc w:val="left"/>
              <w:rPr>
                <w:rFonts w:ascii="黑体" w:eastAsia="黑体" w:hAnsi="黑体" w:cs="宋体"/>
                <w:kern w:val="0"/>
                <w:sz w:val="40"/>
                <w:szCs w:val="40"/>
              </w:rPr>
            </w:pPr>
          </w:p>
        </w:tc>
      </w:tr>
      <w:tr w:rsidR="0017162D" w:rsidTr="004B5E61">
        <w:trPr>
          <w:trHeight w:val="624"/>
        </w:trPr>
        <w:tc>
          <w:tcPr>
            <w:tcW w:w="14049" w:type="dxa"/>
            <w:gridSpan w:val="8"/>
            <w:vMerge/>
            <w:tcBorders>
              <w:top w:val="nil"/>
              <w:left w:val="nil"/>
              <w:bottom w:val="nil"/>
              <w:right w:val="nil"/>
            </w:tcBorders>
            <w:vAlign w:val="center"/>
          </w:tcPr>
          <w:p w:rsidR="0017162D" w:rsidRDefault="0017162D">
            <w:pPr>
              <w:widowControl/>
              <w:jc w:val="left"/>
              <w:rPr>
                <w:rFonts w:ascii="黑体" w:eastAsia="黑体" w:hAnsi="黑体" w:cs="宋体"/>
                <w:kern w:val="0"/>
                <w:sz w:val="40"/>
                <w:szCs w:val="40"/>
              </w:rPr>
            </w:pPr>
          </w:p>
        </w:tc>
      </w:tr>
      <w:tr w:rsidR="004B5E61" w:rsidTr="004B5E61">
        <w:trPr>
          <w:trHeight w:val="624"/>
        </w:trPr>
        <w:tc>
          <w:tcPr>
            <w:tcW w:w="14049" w:type="dxa"/>
            <w:gridSpan w:val="8"/>
            <w:tcBorders>
              <w:top w:val="nil"/>
              <w:left w:val="nil"/>
              <w:bottom w:val="nil"/>
              <w:right w:val="nil"/>
            </w:tcBorders>
            <w:vAlign w:val="center"/>
          </w:tcPr>
          <w:p w:rsidR="004B5E61" w:rsidRPr="004B5E61" w:rsidRDefault="004B5E61">
            <w:pPr>
              <w:widowControl/>
              <w:jc w:val="left"/>
              <w:rPr>
                <w:rFonts w:ascii="黑体" w:eastAsia="黑体" w:hAnsi="黑体" w:cs="宋体"/>
                <w:kern w:val="0"/>
                <w:sz w:val="40"/>
                <w:szCs w:val="40"/>
              </w:rPr>
            </w:pPr>
          </w:p>
        </w:tc>
      </w:tr>
      <w:tr w:rsidR="0017162D" w:rsidTr="004B5E61">
        <w:trPr>
          <w:trHeight w:val="795"/>
        </w:trPr>
        <w:tc>
          <w:tcPr>
            <w:tcW w:w="672" w:type="dxa"/>
            <w:tcBorders>
              <w:top w:val="single" w:sz="4" w:space="0" w:color="auto"/>
              <w:left w:val="single" w:sz="4" w:space="0" w:color="auto"/>
              <w:bottom w:val="single" w:sz="4" w:space="0" w:color="auto"/>
              <w:right w:val="single" w:sz="4" w:space="0" w:color="auto"/>
            </w:tcBorders>
            <w:vAlign w:val="center"/>
          </w:tcPr>
          <w:p w:rsidR="0017162D" w:rsidRDefault="00752DBF">
            <w:pPr>
              <w:widowControl/>
              <w:jc w:val="center"/>
              <w:rPr>
                <w:rFonts w:ascii="宋体" w:cs="宋体"/>
                <w:b/>
                <w:bCs/>
                <w:kern w:val="0"/>
                <w:sz w:val="28"/>
                <w:szCs w:val="28"/>
              </w:rPr>
            </w:pPr>
            <w:r>
              <w:rPr>
                <w:rFonts w:ascii="宋体" w:hAnsi="宋体" w:cs="宋体" w:hint="eastAsia"/>
                <w:b/>
                <w:bCs/>
                <w:kern w:val="0"/>
                <w:sz w:val="28"/>
                <w:szCs w:val="28"/>
              </w:rPr>
              <w:t>序号</w:t>
            </w:r>
          </w:p>
        </w:tc>
        <w:tc>
          <w:tcPr>
            <w:tcW w:w="1346" w:type="dxa"/>
            <w:tcBorders>
              <w:top w:val="single" w:sz="4" w:space="0" w:color="auto"/>
              <w:left w:val="nil"/>
              <w:bottom w:val="single" w:sz="4" w:space="0" w:color="auto"/>
              <w:right w:val="single" w:sz="4" w:space="0" w:color="auto"/>
            </w:tcBorders>
            <w:vAlign w:val="center"/>
          </w:tcPr>
          <w:p w:rsidR="0017162D" w:rsidRDefault="00752DBF">
            <w:pPr>
              <w:widowControl/>
              <w:jc w:val="center"/>
              <w:rPr>
                <w:rFonts w:ascii="宋体" w:cs="宋体"/>
                <w:b/>
                <w:bCs/>
                <w:kern w:val="0"/>
                <w:sz w:val="28"/>
                <w:szCs w:val="28"/>
              </w:rPr>
            </w:pPr>
            <w:r>
              <w:rPr>
                <w:rFonts w:ascii="宋体" w:hAnsi="宋体" w:cs="宋体" w:hint="eastAsia"/>
                <w:b/>
                <w:bCs/>
                <w:kern w:val="0"/>
                <w:sz w:val="28"/>
                <w:szCs w:val="28"/>
              </w:rPr>
              <w:t>检查事项</w:t>
            </w:r>
          </w:p>
        </w:tc>
        <w:tc>
          <w:tcPr>
            <w:tcW w:w="988" w:type="dxa"/>
            <w:tcBorders>
              <w:top w:val="single" w:sz="4" w:space="0" w:color="auto"/>
              <w:left w:val="nil"/>
              <w:bottom w:val="single" w:sz="4" w:space="0" w:color="auto"/>
              <w:right w:val="single" w:sz="4" w:space="0" w:color="auto"/>
            </w:tcBorders>
            <w:vAlign w:val="center"/>
          </w:tcPr>
          <w:p w:rsidR="0017162D" w:rsidRDefault="00752DBF">
            <w:pPr>
              <w:widowControl/>
              <w:jc w:val="center"/>
              <w:rPr>
                <w:rFonts w:ascii="宋体" w:cs="宋体"/>
                <w:b/>
                <w:bCs/>
                <w:kern w:val="0"/>
                <w:sz w:val="28"/>
                <w:szCs w:val="28"/>
              </w:rPr>
            </w:pPr>
            <w:r>
              <w:rPr>
                <w:rFonts w:ascii="宋体" w:hAnsi="宋体" w:cs="宋体" w:hint="eastAsia"/>
                <w:b/>
                <w:bCs/>
                <w:kern w:val="0"/>
                <w:sz w:val="28"/>
                <w:szCs w:val="28"/>
              </w:rPr>
              <w:t>检查主体</w:t>
            </w:r>
          </w:p>
        </w:tc>
        <w:tc>
          <w:tcPr>
            <w:tcW w:w="894" w:type="dxa"/>
            <w:tcBorders>
              <w:top w:val="single" w:sz="4" w:space="0" w:color="auto"/>
              <w:left w:val="nil"/>
              <w:bottom w:val="single" w:sz="4" w:space="0" w:color="auto"/>
              <w:right w:val="single" w:sz="4" w:space="0" w:color="auto"/>
            </w:tcBorders>
            <w:vAlign w:val="center"/>
          </w:tcPr>
          <w:p w:rsidR="0017162D" w:rsidRDefault="00752DBF">
            <w:pPr>
              <w:widowControl/>
              <w:jc w:val="center"/>
              <w:rPr>
                <w:rFonts w:ascii="宋体" w:cs="宋体"/>
                <w:b/>
                <w:bCs/>
                <w:kern w:val="0"/>
                <w:sz w:val="28"/>
                <w:szCs w:val="28"/>
              </w:rPr>
            </w:pPr>
            <w:r>
              <w:rPr>
                <w:rFonts w:ascii="宋体" w:hAnsi="宋体" w:cs="宋体" w:hint="eastAsia"/>
                <w:b/>
                <w:bCs/>
                <w:kern w:val="0"/>
                <w:sz w:val="28"/>
                <w:szCs w:val="28"/>
              </w:rPr>
              <w:t>检查对象</w:t>
            </w:r>
          </w:p>
        </w:tc>
        <w:tc>
          <w:tcPr>
            <w:tcW w:w="2397" w:type="dxa"/>
            <w:tcBorders>
              <w:top w:val="single" w:sz="4" w:space="0" w:color="auto"/>
              <w:left w:val="nil"/>
              <w:bottom w:val="single" w:sz="4" w:space="0" w:color="auto"/>
              <w:right w:val="single" w:sz="4" w:space="0" w:color="auto"/>
            </w:tcBorders>
            <w:vAlign w:val="center"/>
          </w:tcPr>
          <w:p w:rsidR="0017162D" w:rsidRDefault="00752DBF">
            <w:pPr>
              <w:widowControl/>
              <w:jc w:val="center"/>
              <w:rPr>
                <w:rFonts w:ascii="宋体" w:cs="宋体"/>
                <w:b/>
                <w:bCs/>
                <w:kern w:val="0"/>
                <w:sz w:val="28"/>
                <w:szCs w:val="28"/>
              </w:rPr>
            </w:pPr>
            <w:r>
              <w:rPr>
                <w:rFonts w:ascii="宋体" w:hAnsi="宋体" w:cs="宋体" w:hint="eastAsia"/>
                <w:b/>
                <w:bCs/>
                <w:kern w:val="0"/>
                <w:sz w:val="28"/>
                <w:szCs w:val="28"/>
              </w:rPr>
              <w:t>检查内容</w:t>
            </w:r>
          </w:p>
        </w:tc>
        <w:tc>
          <w:tcPr>
            <w:tcW w:w="5363" w:type="dxa"/>
            <w:tcBorders>
              <w:top w:val="single" w:sz="4" w:space="0" w:color="auto"/>
              <w:left w:val="nil"/>
              <w:bottom w:val="single" w:sz="4" w:space="0" w:color="auto"/>
              <w:right w:val="single" w:sz="4" w:space="0" w:color="auto"/>
            </w:tcBorders>
            <w:vAlign w:val="center"/>
          </w:tcPr>
          <w:p w:rsidR="0017162D" w:rsidRDefault="00752DBF">
            <w:pPr>
              <w:widowControl/>
              <w:jc w:val="center"/>
              <w:rPr>
                <w:rFonts w:ascii="宋体" w:cs="宋体"/>
                <w:b/>
                <w:bCs/>
                <w:kern w:val="0"/>
                <w:sz w:val="28"/>
                <w:szCs w:val="28"/>
              </w:rPr>
            </w:pPr>
            <w:r>
              <w:rPr>
                <w:rFonts w:ascii="宋体" w:hAnsi="宋体" w:cs="宋体" w:hint="eastAsia"/>
                <w:b/>
                <w:bCs/>
                <w:kern w:val="0"/>
                <w:sz w:val="28"/>
                <w:szCs w:val="28"/>
              </w:rPr>
              <w:t>检查依据</w:t>
            </w:r>
          </w:p>
        </w:tc>
        <w:tc>
          <w:tcPr>
            <w:tcW w:w="1466" w:type="dxa"/>
            <w:tcBorders>
              <w:top w:val="single" w:sz="4" w:space="0" w:color="auto"/>
              <w:left w:val="nil"/>
              <w:bottom w:val="single" w:sz="4" w:space="0" w:color="auto"/>
              <w:right w:val="single" w:sz="4" w:space="0" w:color="auto"/>
            </w:tcBorders>
            <w:vAlign w:val="center"/>
          </w:tcPr>
          <w:p w:rsidR="0017162D" w:rsidRDefault="00752DBF">
            <w:pPr>
              <w:widowControl/>
              <w:jc w:val="center"/>
              <w:rPr>
                <w:rFonts w:ascii="宋体" w:cs="宋体"/>
                <w:b/>
                <w:bCs/>
                <w:kern w:val="0"/>
                <w:sz w:val="28"/>
                <w:szCs w:val="28"/>
              </w:rPr>
            </w:pPr>
            <w:r>
              <w:rPr>
                <w:rFonts w:ascii="宋体" w:hAnsi="宋体" w:cs="宋体" w:hint="eastAsia"/>
                <w:b/>
                <w:bCs/>
                <w:kern w:val="0"/>
                <w:sz w:val="28"/>
                <w:szCs w:val="28"/>
              </w:rPr>
              <w:t>检查方式</w:t>
            </w:r>
          </w:p>
        </w:tc>
        <w:tc>
          <w:tcPr>
            <w:tcW w:w="923" w:type="dxa"/>
            <w:tcBorders>
              <w:top w:val="single" w:sz="4" w:space="0" w:color="auto"/>
              <w:left w:val="nil"/>
              <w:bottom w:val="single" w:sz="4" w:space="0" w:color="auto"/>
              <w:right w:val="single" w:sz="4" w:space="0" w:color="000000"/>
            </w:tcBorders>
            <w:vAlign w:val="center"/>
          </w:tcPr>
          <w:p w:rsidR="0017162D" w:rsidRDefault="00752DBF">
            <w:pPr>
              <w:widowControl/>
              <w:jc w:val="center"/>
              <w:rPr>
                <w:rFonts w:ascii="宋体" w:cs="宋体"/>
                <w:b/>
                <w:bCs/>
                <w:kern w:val="0"/>
                <w:sz w:val="28"/>
                <w:szCs w:val="28"/>
              </w:rPr>
            </w:pPr>
            <w:r>
              <w:rPr>
                <w:rFonts w:ascii="宋体" w:hAnsi="宋体" w:cs="宋体" w:hint="eastAsia"/>
                <w:b/>
                <w:bCs/>
                <w:kern w:val="0"/>
                <w:sz w:val="28"/>
                <w:szCs w:val="28"/>
              </w:rPr>
              <w:t>备注</w:t>
            </w:r>
          </w:p>
        </w:tc>
      </w:tr>
      <w:tr w:rsidR="004B5E61" w:rsidTr="004B5E61">
        <w:trPr>
          <w:trHeight w:val="1440"/>
        </w:trPr>
        <w:tc>
          <w:tcPr>
            <w:tcW w:w="672" w:type="dxa"/>
            <w:tcBorders>
              <w:top w:val="nil"/>
              <w:left w:val="single" w:sz="4" w:space="0" w:color="auto"/>
              <w:bottom w:val="single" w:sz="4" w:space="0" w:color="000000"/>
              <w:right w:val="single" w:sz="4" w:space="0" w:color="auto"/>
            </w:tcBorders>
            <w:vAlign w:val="center"/>
          </w:tcPr>
          <w:p w:rsidR="004B5E61" w:rsidRPr="00752DBF" w:rsidRDefault="004B5E61" w:rsidP="004B5E61">
            <w:pPr>
              <w:spacing w:line="240" w:lineRule="exact"/>
              <w:jc w:val="center"/>
              <w:rPr>
                <w:rFonts w:ascii="宋体" w:hAnsi="宋体"/>
                <w:szCs w:val="21"/>
              </w:rPr>
            </w:pPr>
            <w:r w:rsidRPr="00752DBF">
              <w:rPr>
                <w:rFonts w:ascii="宋体" w:hAnsi="宋体" w:hint="eastAsia"/>
                <w:szCs w:val="21"/>
              </w:rPr>
              <w:t>1</w:t>
            </w:r>
          </w:p>
        </w:tc>
        <w:tc>
          <w:tcPr>
            <w:tcW w:w="1346" w:type="dxa"/>
            <w:tcBorders>
              <w:top w:val="nil"/>
              <w:left w:val="single" w:sz="4" w:space="0" w:color="auto"/>
              <w:bottom w:val="single" w:sz="4" w:space="0" w:color="000000"/>
              <w:right w:val="single" w:sz="4" w:space="0" w:color="auto"/>
            </w:tcBorders>
            <w:vAlign w:val="center"/>
          </w:tcPr>
          <w:p w:rsidR="004B5E61" w:rsidRPr="00752DBF" w:rsidRDefault="004B5E61" w:rsidP="002F1DA1">
            <w:pPr>
              <w:spacing w:line="240" w:lineRule="exact"/>
              <w:jc w:val="center"/>
              <w:rPr>
                <w:rFonts w:ascii="宋体" w:hAnsi="宋体"/>
                <w:szCs w:val="21"/>
              </w:rPr>
            </w:pPr>
            <w:r w:rsidRPr="00752DBF">
              <w:rPr>
                <w:rFonts w:ascii="宋体" w:hAnsi="宋体" w:hint="eastAsia"/>
                <w:szCs w:val="21"/>
              </w:rPr>
              <w:t>对外劳务合作企业经营</w:t>
            </w:r>
            <w:r w:rsidR="002F1DA1">
              <w:rPr>
                <w:rFonts w:ascii="宋体" w:hAnsi="宋体" w:hint="eastAsia"/>
                <w:szCs w:val="21"/>
              </w:rPr>
              <w:t>行</w:t>
            </w:r>
            <w:r w:rsidR="002F1DA1">
              <w:rPr>
                <w:rFonts w:ascii="宋体" w:hAnsi="宋体"/>
                <w:szCs w:val="21"/>
              </w:rPr>
              <w:t>为</w:t>
            </w:r>
            <w:r w:rsidR="00127FB0">
              <w:rPr>
                <w:rFonts w:ascii="宋体" w:hAnsi="宋体" w:hint="eastAsia"/>
                <w:szCs w:val="21"/>
              </w:rPr>
              <w:t>检查</w:t>
            </w:r>
          </w:p>
        </w:tc>
        <w:tc>
          <w:tcPr>
            <w:tcW w:w="988" w:type="dxa"/>
            <w:tcBorders>
              <w:top w:val="nil"/>
              <w:left w:val="single" w:sz="4" w:space="0" w:color="auto"/>
              <w:bottom w:val="single" w:sz="4" w:space="0" w:color="000000"/>
              <w:right w:val="single" w:sz="4" w:space="0" w:color="auto"/>
            </w:tcBorders>
            <w:vAlign w:val="center"/>
          </w:tcPr>
          <w:p w:rsidR="004B5E61" w:rsidRPr="00752DBF" w:rsidRDefault="00875287" w:rsidP="004B5E61">
            <w:pPr>
              <w:spacing w:line="240" w:lineRule="exact"/>
              <w:jc w:val="center"/>
              <w:rPr>
                <w:rFonts w:ascii="宋体" w:hAnsi="宋体"/>
                <w:szCs w:val="21"/>
              </w:rPr>
            </w:pPr>
            <w:r>
              <w:rPr>
                <w:rFonts w:ascii="宋体" w:hAnsi="宋体" w:hint="eastAsia"/>
                <w:szCs w:val="21"/>
              </w:rPr>
              <w:t>长</w:t>
            </w:r>
            <w:r>
              <w:rPr>
                <w:rFonts w:ascii="宋体" w:hAnsi="宋体"/>
                <w:szCs w:val="21"/>
              </w:rPr>
              <w:t>春</w:t>
            </w:r>
            <w:r w:rsidR="004B5E61" w:rsidRPr="00752DBF">
              <w:rPr>
                <w:rFonts w:ascii="宋体" w:hAnsi="宋体" w:hint="eastAsia"/>
                <w:szCs w:val="21"/>
              </w:rPr>
              <w:t>市商务局</w:t>
            </w:r>
          </w:p>
        </w:tc>
        <w:tc>
          <w:tcPr>
            <w:tcW w:w="894" w:type="dxa"/>
            <w:tcBorders>
              <w:top w:val="nil"/>
              <w:left w:val="single" w:sz="4" w:space="0" w:color="auto"/>
              <w:bottom w:val="single" w:sz="4" w:space="0" w:color="000000"/>
              <w:right w:val="single" w:sz="4" w:space="0" w:color="auto"/>
            </w:tcBorders>
            <w:vAlign w:val="center"/>
          </w:tcPr>
          <w:p w:rsidR="004B5E61" w:rsidRPr="00752DBF" w:rsidRDefault="004B5E61" w:rsidP="004B5E61">
            <w:pPr>
              <w:spacing w:line="240" w:lineRule="exact"/>
              <w:jc w:val="center"/>
              <w:rPr>
                <w:rFonts w:ascii="宋体" w:hAnsi="宋体"/>
                <w:szCs w:val="21"/>
              </w:rPr>
            </w:pPr>
            <w:r w:rsidRPr="00752DBF">
              <w:rPr>
                <w:rFonts w:ascii="宋体" w:hAnsi="宋体" w:hint="eastAsia"/>
                <w:szCs w:val="21"/>
              </w:rPr>
              <w:t>具有对外劳务合作经营资格证书的市属对外劳务合作企业</w:t>
            </w:r>
          </w:p>
        </w:tc>
        <w:tc>
          <w:tcPr>
            <w:tcW w:w="2397" w:type="dxa"/>
            <w:tcBorders>
              <w:top w:val="nil"/>
              <w:left w:val="single" w:sz="4" w:space="0" w:color="auto"/>
              <w:bottom w:val="single" w:sz="4" w:space="0" w:color="000000"/>
              <w:right w:val="single" w:sz="4" w:space="0" w:color="auto"/>
            </w:tcBorders>
            <w:vAlign w:val="center"/>
          </w:tcPr>
          <w:p w:rsidR="004B5E61" w:rsidRPr="00752DBF" w:rsidRDefault="00872723" w:rsidP="004B5E61">
            <w:pPr>
              <w:spacing w:line="240" w:lineRule="exact"/>
              <w:jc w:val="left"/>
              <w:rPr>
                <w:rFonts w:ascii="宋体" w:hAnsi="宋体"/>
                <w:szCs w:val="21"/>
              </w:rPr>
            </w:pPr>
            <w:r>
              <w:rPr>
                <w:rFonts w:ascii="宋体" w:hAnsi="宋体" w:hint="eastAsia"/>
                <w:szCs w:val="21"/>
              </w:rPr>
              <w:t>1、</w:t>
            </w:r>
            <w:r w:rsidR="00943B11">
              <w:rPr>
                <w:rFonts w:ascii="宋体" w:hAnsi="宋体" w:hint="eastAsia"/>
                <w:szCs w:val="21"/>
              </w:rPr>
              <w:t>对</w:t>
            </w:r>
            <w:r w:rsidR="00943B11">
              <w:rPr>
                <w:rFonts w:ascii="宋体" w:hAnsi="宋体"/>
                <w:szCs w:val="21"/>
              </w:rPr>
              <w:t>外劳务经营资格；</w:t>
            </w:r>
          </w:p>
          <w:p w:rsidR="004B5E61" w:rsidRPr="00752DBF" w:rsidRDefault="00B74444" w:rsidP="00B74444">
            <w:pPr>
              <w:spacing w:line="240" w:lineRule="exact"/>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对外劳务组织情况</w:t>
            </w:r>
            <w:r>
              <w:rPr>
                <w:rFonts w:ascii="宋体" w:hAnsi="宋体" w:hint="eastAsia"/>
                <w:szCs w:val="21"/>
              </w:rPr>
              <w:t>；</w:t>
            </w:r>
            <w:r w:rsidRPr="00752DBF">
              <w:rPr>
                <w:rFonts w:ascii="宋体" w:hAnsi="宋体"/>
                <w:szCs w:val="21"/>
              </w:rPr>
              <w:t xml:space="preserve"> </w:t>
            </w:r>
          </w:p>
          <w:p w:rsidR="004B5E61" w:rsidRPr="00752DBF" w:rsidRDefault="00B74444" w:rsidP="004B5E61">
            <w:pPr>
              <w:spacing w:line="240" w:lineRule="exact"/>
              <w:jc w:val="left"/>
              <w:rPr>
                <w:rFonts w:ascii="宋体" w:hAnsi="宋体"/>
                <w:szCs w:val="21"/>
              </w:rPr>
            </w:pPr>
            <w:r>
              <w:rPr>
                <w:rFonts w:ascii="宋体" w:hAnsi="宋体"/>
                <w:szCs w:val="21"/>
              </w:rPr>
              <w:t>3</w:t>
            </w:r>
            <w:r>
              <w:rPr>
                <w:rFonts w:ascii="宋体" w:hAnsi="宋体" w:hint="eastAsia"/>
                <w:szCs w:val="21"/>
              </w:rPr>
              <w:t>、</w:t>
            </w:r>
            <w:r w:rsidR="004B5E61" w:rsidRPr="00752DBF">
              <w:rPr>
                <w:rFonts w:ascii="宋体" w:hAnsi="宋体" w:hint="eastAsia"/>
                <w:szCs w:val="21"/>
              </w:rPr>
              <w:t>备用金</w:t>
            </w:r>
            <w:r>
              <w:rPr>
                <w:rFonts w:ascii="宋体" w:hAnsi="宋体" w:hint="eastAsia"/>
                <w:szCs w:val="21"/>
              </w:rPr>
              <w:t>缴</w:t>
            </w:r>
            <w:r>
              <w:rPr>
                <w:rFonts w:ascii="宋体" w:hAnsi="宋体"/>
                <w:szCs w:val="21"/>
              </w:rPr>
              <w:t>存情况</w:t>
            </w:r>
            <w:r>
              <w:rPr>
                <w:rFonts w:ascii="宋体" w:hAnsi="宋体" w:hint="eastAsia"/>
                <w:szCs w:val="21"/>
              </w:rPr>
              <w:t>；</w:t>
            </w:r>
          </w:p>
          <w:p w:rsidR="00B74444" w:rsidRPr="00752DBF" w:rsidRDefault="00B74444" w:rsidP="00B74444">
            <w:pPr>
              <w:spacing w:line="240" w:lineRule="exact"/>
              <w:jc w:val="left"/>
              <w:rPr>
                <w:rFonts w:ascii="宋体" w:hAnsi="宋体"/>
                <w:szCs w:val="21"/>
              </w:rPr>
            </w:pPr>
            <w:r>
              <w:rPr>
                <w:rFonts w:ascii="宋体" w:hAnsi="宋体"/>
                <w:szCs w:val="21"/>
              </w:rPr>
              <w:t>4</w:t>
            </w:r>
            <w:r>
              <w:rPr>
                <w:rFonts w:ascii="宋体" w:hAnsi="宋体" w:hint="eastAsia"/>
                <w:szCs w:val="21"/>
              </w:rPr>
              <w:t>、劳务人员</w:t>
            </w:r>
            <w:r w:rsidR="004B5E61" w:rsidRPr="00752DBF">
              <w:rPr>
                <w:rFonts w:ascii="宋体" w:hAnsi="宋体" w:hint="eastAsia"/>
                <w:szCs w:val="21"/>
              </w:rPr>
              <w:t>培训</w:t>
            </w:r>
            <w:r>
              <w:rPr>
                <w:rFonts w:ascii="宋体" w:hAnsi="宋体" w:hint="eastAsia"/>
                <w:szCs w:val="21"/>
              </w:rPr>
              <w:t>、保险</w:t>
            </w:r>
            <w:r>
              <w:rPr>
                <w:rFonts w:ascii="宋体" w:hAnsi="宋体"/>
                <w:szCs w:val="21"/>
              </w:rPr>
              <w:t>、管理</w:t>
            </w:r>
            <w:r>
              <w:rPr>
                <w:rFonts w:ascii="宋体" w:hAnsi="宋体" w:hint="eastAsia"/>
                <w:szCs w:val="21"/>
              </w:rPr>
              <w:t>及</w:t>
            </w:r>
            <w:r>
              <w:rPr>
                <w:rFonts w:ascii="宋体" w:hAnsi="宋体"/>
                <w:szCs w:val="21"/>
              </w:rPr>
              <w:t>用工合同执行情况；</w:t>
            </w:r>
            <w:r w:rsidRPr="00752DBF">
              <w:rPr>
                <w:rFonts w:ascii="宋体" w:hAnsi="宋体"/>
                <w:szCs w:val="21"/>
              </w:rPr>
              <w:t xml:space="preserve"> </w:t>
            </w:r>
          </w:p>
          <w:p w:rsidR="004B5E61" w:rsidRPr="00752DBF" w:rsidRDefault="00B74444" w:rsidP="004B5E61">
            <w:pPr>
              <w:spacing w:line="240" w:lineRule="exact"/>
              <w:jc w:val="left"/>
              <w:rPr>
                <w:rFonts w:ascii="宋体" w:hAnsi="宋体"/>
                <w:szCs w:val="21"/>
              </w:rPr>
            </w:pPr>
            <w:r>
              <w:rPr>
                <w:rFonts w:ascii="宋体" w:hAnsi="宋体"/>
                <w:szCs w:val="21"/>
              </w:rPr>
              <w:t>5</w:t>
            </w:r>
            <w:r>
              <w:rPr>
                <w:rFonts w:ascii="宋体" w:hAnsi="宋体" w:hint="eastAsia"/>
                <w:szCs w:val="21"/>
              </w:rPr>
              <w:t>、国外</w:t>
            </w:r>
            <w:r w:rsidR="004B5E61" w:rsidRPr="00752DBF">
              <w:rPr>
                <w:rFonts w:ascii="宋体" w:hAnsi="宋体" w:hint="eastAsia"/>
                <w:szCs w:val="21"/>
              </w:rPr>
              <w:t>突发事件</w:t>
            </w:r>
            <w:r w:rsidRPr="00752DBF">
              <w:rPr>
                <w:rFonts w:ascii="宋体" w:hAnsi="宋体" w:hint="eastAsia"/>
                <w:szCs w:val="21"/>
              </w:rPr>
              <w:t>处理</w:t>
            </w:r>
            <w:r>
              <w:rPr>
                <w:rFonts w:ascii="宋体" w:hAnsi="宋体" w:hint="eastAsia"/>
                <w:szCs w:val="21"/>
              </w:rPr>
              <w:t>情况；</w:t>
            </w:r>
          </w:p>
          <w:p w:rsidR="004B5E61" w:rsidRPr="00752DBF" w:rsidRDefault="00B74444" w:rsidP="004B5E61">
            <w:pPr>
              <w:spacing w:line="240" w:lineRule="exact"/>
              <w:jc w:val="left"/>
              <w:rPr>
                <w:rFonts w:ascii="宋体" w:hAnsi="宋体"/>
                <w:szCs w:val="21"/>
              </w:rPr>
            </w:pPr>
            <w:r>
              <w:rPr>
                <w:rFonts w:ascii="宋体" w:hAnsi="宋体"/>
                <w:szCs w:val="21"/>
              </w:rPr>
              <w:t>6</w:t>
            </w:r>
            <w:r>
              <w:rPr>
                <w:rFonts w:ascii="宋体" w:hAnsi="宋体" w:hint="eastAsia"/>
                <w:szCs w:val="21"/>
              </w:rPr>
              <w:t>、</w:t>
            </w:r>
            <w:r>
              <w:rPr>
                <w:rFonts w:ascii="宋体" w:hAnsi="宋体"/>
                <w:szCs w:val="21"/>
              </w:rPr>
              <w:t>相关经营行为</w:t>
            </w:r>
            <w:r>
              <w:rPr>
                <w:rFonts w:ascii="宋体" w:hAnsi="宋体" w:hint="eastAsia"/>
                <w:szCs w:val="21"/>
              </w:rPr>
              <w:t>在</w:t>
            </w:r>
            <w:r w:rsidR="004B5E61" w:rsidRPr="00752DBF">
              <w:rPr>
                <w:rFonts w:ascii="宋体" w:hAnsi="宋体" w:hint="eastAsia"/>
                <w:szCs w:val="21"/>
              </w:rPr>
              <w:t>商务主管部门备案</w:t>
            </w:r>
            <w:r>
              <w:rPr>
                <w:rFonts w:ascii="宋体" w:hAnsi="宋体" w:hint="eastAsia"/>
                <w:szCs w:val="21"/>
              </w:rPr>
              <w:t>情况</w:t>
            </w:r>
            <w:r w:rsidR="004B5E61" w:rsidRPr="00752DBF">
              <w:rPr>
                <w:rFonts w:ascii="宋体" w:hAnsi="宋体" w:hint="eastAsia"/>
                <w:szCs w:val="21"/>
              </w:rPr>
              <w:t>。</w:t>
            </w:r>
          </w:p>
        </w:tc>
        <w:tc>
          <w:tcPr>
            <w:tcW w:w="5363" w:type="dxa"/>
            <w:tcBorders>
              <w:top w:val="nil"/>
              <w:left w:val="single" w:sz="4" w:space="0" w:color="auto"/>
              <w:bottom w:val="single" w:sz="4" w:space="0" w:color="000000"/>
              <w:right w:val="single" w:sz="4" w:space="0" w:color="auto"/>
            </w:tcBorders>
            <w:vAlign w:val="center"/>
          </w:tcPr>
          <w:p w:rsidR="004B5E61" w:rsidRPr="00752DBF" w:rsidRDefault="004B5E61" w:rsidP="004B5E61">
            <w:pPr>
              <w:spacing w:line="240" w:lineRule="exact"/>
              <w:jc w:val="left"/>
              <w:rPr>
                <w:rFonts w:ascii="宋体" w:hAnsi="宋体"/>
                <w:szCs w:val="21"/>
              </w:rPr>
            </w:pPr>
            <w:r w:rsidRPr="001F1B1A">
              <w:rPr>
                <w:rFonts w:ascii="宋体" w:hAnsi="宋体" w:hint="eastAsia"/>
                <w:b/>
                <w:szCs w:val="21"/>
              </w:rPr>
              <w:t>《对外劳务合作管理条例》</w:t>
            </w:r>
            <w:r w:rsidR="001F1B1A">
              <w:rPr>
                <w:rFonts w:ascii="宋体" w:hAnsi="宋体" w:hint="eastAsia"/>
                <w:b/>
                <w:szCs w:val="21"/>
              </w:rPr>
              <w:t>（</w:t>
            </w:r>
            <w:r w:rsidR="001F1B1A" w:rsidRPr="001F1B1A">
              <w:rPr>
                <w:rFonts w:ascii="宋体" w:hAnsi="宋体" w:hint="eastAsia"/>
                <w:b/>
                <w:szCs w:val="21"/>
              </w:rPr>
              <w:t>中华人民共和国国务院令2012年第620号</w:t>
            </w:r>
            <w:r w:rsidR="001F1B1A">
              <w:rPr>
                <w:rFonts w:ascii="宋体" w:hAnsi="宋体" w:hint="eastAsia"/>
                <w:b/>
                <w:szCs w:val="21"/>
              </w:rPr>
              <w:t>）</w:t>
            </w:r>
            <w:r w:rsidRPr="001F1B1A">
              <w:rPr>
                <w:rFonts w:ascii="宋体" w:hAnsi="宋体" w:hint="eastAsia"/>
                <w:b/>
                <w:szCs w:val="21"/>
              </w:rPr>
              <w:t>第五章　法律责任</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第三十九条　未依法取得对外劳务合作经营资格，从事对外劳务合作的，由商务主管部门提请工商行政管理部门依照《无照经营查处取缔办法》的规定查处取缔；构成犯罪的，依法追究刑事责任。</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第四十条　对外劳务合作企业有下列情形之一的，由商务主管部门吊销其对外劳务合作经营资格证书，有违法所得的予以没收：</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（一）以商务、旅游、留学等名义组织劳务人员赴国外工作；</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（二）允许其他单位或者个人以本企业的名义组织劳务人员赴国外工作；</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（三）组织劳务人员赴国外从事与赌博、色情活动相关的工作。</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第四十一条　对外劳务合作企业未依照本条例规定</w:t>
            </w:r>
            <w:r w:rsidRPr="00752DBF">
              <w:rPr>
                <w:rFonts w:ascii="宋体" w:hAnsi="宋体" w:hint="eastAsia"/>
                <w:szCs w:val="21"/>
              </w:rPr>
              <w:lastRenderedPageBreak/>
              <w:t>缴存或者补足备用金的，由商务主管部门责令改正；拒不改正的，吊销其对外劳务合作经营资格证书。</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第四十二条　对外劳务合作企业有下列情形之一的，由商务主管部门责令改正；拒不改正的，处5万元以上10万元以下的罚款，并对其主要负责人处1万元以上3万元以下的罚款：</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（一）未安排劳务人员接受培训，组织劳务人员赴国外工作；</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（二）未依照本条例规定为劳务人员购买在国外工作期间的人身意外伤害保险；</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（三）未依照本条例规定安排随行管理人员。</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第四十三条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（一）未与国外雇主订立劳务合作合同，组织劳务人员赴国外工作；</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（二）未依照本条例规定与劳务人员订立服务合同或者劳动合同，组织劳务人员赴国外工作；</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（三）违反本条例规定，与未经批准的国外雇主或者与国外的个人订立劳务合作合同，组织劳务人员赴国外工作；</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（四）与劳务人员订立服务合同或者劳动合同，隐瞒有关信息或者提供虚假信息；</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（五）在国外发生突发事件时不及时处理；</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（六）停止开展对外劳务合作，未对其派出的尚在国外工作的劳务人员作出安排。</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有前款第四项规定情形，构成犯罪的，依法追究刑事责任。</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第四十四条　对外劳务合作企业向与其订立服务合同的劳务人员收取服务费不符合国家有关规定，或者向劳务人员收取押金、要求劳务人员提供财产担保的，由价格主管部门依照有关价格的法律、行政法规的规定处罚。</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lastRenderedPageBreak/>
              <w:t xml:space="preserve">　　对外劳务合作企业向与其订立劳动合同的劳务人员收取费用的，依照《中华人民共和国劳动合同法》的规定处罚。</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第四十五条　对外劳务合作企业有下列情形之一的，由商务主管部门责令改正；拒不改正的，处1万元以上2万元以下的罚款，并对其主要负责人处2000元以上5000元以下的罚款：</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（一）未将服务合同或者劳动合同、劳务合作合同副本以及劳务人员名单报商务主管部门备案；</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（二）组织劳务人员出境后，未将有关情况向中国驻用工项目所在国使馆、领馆报告，或者未依照本条例规定将随行管理人员名单报负责审批的商务主管部门备案；</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（三）未制定突发事件应急预案；</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（四）停止开展对外劳务合作，未将其对劳务人员的安排方案报商务主管部门备案。</w:t>
            </w:r>
          </w:p>
          <w:p w:rsidR="004B5E61" w:rsidRPr="00752DBF" w:rsidRDefault="004B5E61" w:rsidP="004B5E61">
            <w:pPr>
              <w:spacing w:line="240" w:lineRule="exact"/>
              <w:jc w:val="left"/>
              <w:rPr>
                <w:rFonts w:ascii="宋体" w:hAnsi="宋体"/>
                <w:szCs w:val="21"/>
              </w:rPr>
            </w:pPr>
            <w:r w:rsidRPr="00752DBF">
              <w:rPr>
                <w:rFonts w:ascii="宋体" w:hAnsi="宋体" w:hint="eastAsia"/>
                <w:szCs w:val="21"/>
              </w:rPr>
              <w:t xml:space="preserve">　　对外劳务合作企业拒不将服务合同或者劳动合同、劳务合作合同副本报商务主管部门备案，且合同未载明本条例规定的必备事项，或者在合同备案后拒不按照商务主管部门的要求补正合同必备事项的，依照本条例第四十三条的规定处罚。</w:t>
            </w:r>
          </w:p>
        </w:tc>
        <w:tc>
          <w:tcPr>
            <w:tcW w:w="1466" w:type="dxa"/>
            <w:tcBorders>
              <w:top w:val="nil"/>
              <w:left w:val="single" w:sz="4" w:space="0" w:color="auto"/>
              <w:bottom w:val="single" w:sz="4" w:space="0" w:color="000000"/>
              <w:right w:val="single" w:sz="4" w:space="0" w:color="auto"/>
            </w:tcBorders>
            <w:vAlign w:val="center"/>
          </w:tcPr>
          <w:p w:rsidR="004B5E61" w:rsidRDefault="004B5E61" w:rsidP="004B5E61">
            <w:pPr>
              <w:jc w:val="center"/>
              <w:rPr>
                <w:rFonts w:ascii="宋体" w:hAnsi="宋体" w:cs="宋体"/>
                <w:szCs w:val="21"/>
              </w:rPr>
            </w:pPr>
            <w:r>
              <w:rPr>
                <w:rFonts w:ascii="宋体" w:hAnsi="宋体" w:cs="宋体" w:hint="eastAsia"/>
                <w:szCs w:val="21"/>
              </w:rPr>
              <w:lastRenderedPageBreak/>
              <w:t>实</w:t>
            </w:r>
            <w:r>
              <w:rPr>
                <w:rFonts w:ascii="宋体" w:hAnsi="宋体" w:cs="宋体"/>
                <w:szCs w:val="21"/>
              </w:rPr>
              <w:t>地核查</w:t>
            </w:r>
          </w:p>
          <w:p w:rsidR="009D2BE6" w:rsidRDefault="009D2BE6" w:rsidP="004B5E61">
            <w:pPr>
              <w:jc w:val="center"/>
              <w:rPr>
                <w:rFonts w:ascii="宋体" w:hAnsi="宋体" w:cs="宋体" w:hint="eastAsia"/>
                <w:szCs w:val="21"/>
              </w:rPr>
            </w:pPr>
            <w:r>
              <w:rPr>
                <w:rFonts w:ascii="宋体" w:hAnsi="宋体" w:cs="宋体" w:hint="eastAsia"/>
                <w:szCs w:val="21"/>
              </w:rPr>
              <w:t>书面</w:t>
            </w:r>
            <w:r>
              <w:rPr>
                <w:rFonts w:ascii="宋体" w:hAnsi="宋体" w:cs="宋体"/>
                <w:szCs w:val="21"/>
              </w:rPr>
              <w:t>检查</w:t>
            </w:r>
          </w:p>
        </w:tc>
        <w:tc>
          <w:tcPr>
            <w:tcW w:w="923" w:type="dxa"/>
            <w:tcBorders>
              <w:top w:val="single" w:sz="4" w:space="0" w:color="auto"/>
              <w:left w:val="single" w:sz="4" w:space="0" w:color="auto"/>
              <w:bottom w:val="single" w:sz="4" w:space="0" w:color="000000"/>
              <w:right w:val="single" w:sz="4" w:space="0" w:color="000000"/>
            </w:tcBorders>
            <w:vAlign w:val="center"/>
          </w:tcPr>
          <w:p w:rsidR="004B5E61" w:rsidRDefault="004B5E61" w:rsidP="004B5E61">
            <w:pPr>
              <w:widowControl/>
              <w:jc w:val="center"/>
              <w:rPr>
                <w:rFonts w:ascii="仿宋_GB2312" w:eastAsia="仿宋_GB2312" w:hAnsi="宋体" w:cs="宋体"/>
                <w:kern w:val="0"/>
                <w:szCs w:val="21"/>
              </w:rPr>
            </w:pPr>
          </w:p>
        </w:tc>
      </w:tr>
      <w:tr w:rsidR="004B5E61" w:rsidRPr="00752DBF" w:rsidTr="004B5E61">
        <w:trPr>
          <w:trHeight w:val="1440"/>
        </w:trPr>
        <w:tc>
          <w:tcPr>
            <w:tcW w:w="672" w:type="dxa"/>
            <w:vMerge w:val="restart"/>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center"/>
              <w:rPr>
                <w:rFonts w:ascii="宋体" w:hAnsi="宋体" w:cs="宋体"/>
                <w:kern w:val="0"/>
                <w:szCs w:val="21"/>
              </w:rPr>
            </w:pPr>
            <w:r w:rsidRPr="00752DBF">
              <w:rPr>
                <w:rFonts w:ascii="宋体" w:hAnsi="宋体" w:cs="宋体"/>
                <w:kern w:val="0"/>
                <w:szCs w:val="21"/>
              </w:rPr>
              <w:lastRenderedPageBreak/>
              <w:t>2</w:t>
            </w:r>
          </w:p>
        </w:tc>
        <w:tc>
          <w:tcPr>
            <w:tcW w:w="1346" w:type="dxa"/>
            <w:vMerge w:val="restart"/>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r w:rsidRPr="00752DBF">
              <w:rPr>
                <w:rFonts w:ascii="宋体" w:hAnsi="宋体" w:cs="宋体" w:hint="eastAsia"/>
                <w:kern w:val="0"/>
                <w:szCs w:val="21"/>
              </w:rPr>
              <w:t>外商投资企业设立及变更备案监督检查</w:t>
            </w:r>
          </w:p>
        </w:tc>
        <w:tc>
          <w:tcPr>
            <w:tcW w:w="988" w:type="dxa"/>
            <w:vMerge w:val="restart"/>
            <w:tcBorders>
              <w:top w:val="nil"/>
              <w:left w:val="single" w:sz="4" w:space="0" w:color="auto"/>
              <w:bottom w:val="single" w:sz="4" w:space="0" w:color="000000"/>
              <w:right w:val="single" w:sz="4" w:space="0" w:color="auto"/>
            </w:tcBorders>
            <w:vAlign w:val="center"/>
          </w:tcPr>
          <w:p w:rsidR="004B5E61" w:rsidRPr="00752DBF" w:rsidRDefault="00C50ADD" w:rsidP="004B5E61">
            <w:pPr>
              <w:widowControl/>
              <w:jc w:val="left"/>
              <w:rPr>
                <w:rFonts w:ascii="宋体" w:hAnsi="宋体" w:cs="宋体"/>
                <w:kern w:val="0"/>
                <w:szCs w:val="21"/>
              </w:rPr>
            </w:pPr>
            <w:r>
              <w:rPr>
                <w:rFonts w:ascii="宋体" w:hAnsi="宋体" w:cs="宋体" w:hint="eastAsia"/>
                <w:kern w:val="0"/>
                <w:szCs w:val="21"/>
              </w:rPr>
              <w:t>长</w:t>
            </w:r>
            <w:r>
              <w:rPr>
                <w:rFonts w:ascii="宋体" w:hAnsi="宋体" w:cs="宋体"/>
                <w:kern w:val="0"/>
                <w:szCs w:val="21"/>
              </w:rPr>
              <w:t>春</w:t>
            </w:r>
            <w:r w:rsidR="004B5E61" w:rsidRPr="00752DBF">
              <w:rPr>
                <w:rFonts w:ascii="宋体" w:hAnsi="宋体" w:cs="宋体" w:hint="eastAsia"/>
                <w:kern w:val="0"/>
                <w:szCs w:val="21"/>
              </w:rPr>
              <w:t>市商务局</w:t>
            </w:r>
          </w:p>
        </w:tc>
        <w:tc>
          <w:tcPr>
            <w:tcW w:w="894" w:type="dxa"/>
            <w:vMerge w:val="restart"/>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center"/>
              <w:rPr>
                <w:rFonts w:ascii="宋体" w:hAnsi="宋体" w:cs="宋体"/>
                <w:kern w:val="0"/>
                <w:szCs w:val="21"/>
              </w:rPr>
            </w:pPr>
            <w:r w:rsidRPr="00752DBF">
              <w:rPr>
                <w:rFonts w:ascii="宋体" w:hAnsi="宋体" w:cs="宋体" w:hint="eastAsia"/>
                <w:kern w:val="0"/>
                <w:szCs w:val="21"/>
              </w:rPr>
              <w:t>全市外商投资企业</w:t>
            </w:r>
          </w:p>
        </w:tc>
        <w:tc>
          <w:tcPr>
            <w:tcW w:w="2397" w:type="dxa"/>
            <w:vMerge w:val="restart"/>
            <w:tcBorders>
              <w:top w:val="nil"/>
              <w:left w:val="single" w:sz="4" w:space="0" w:color="auto"/>
              <w:bottom w:val="single" w:sz="4" w:space="0" w:color="000000"/>
              <w:right w:val="single" w:sz="4" w:space="0" w:color="auto"/>
            </w:tcBorders>
            <w:vAlign w:val="center"/>
          </w:tcPr>
          <w:p w:rsidR="004B5E61" w:rsidRPr="00752DBF" w:rsidRDefault="00872723" w:rsidP="004B5E61">
            <w:pPr>
              <w:rPr>
                <w:rFonts w:ascii="宋体" w:hAnsi="宋体" w:cs="宋体"/>
                <w:szCs w:val="21"/>
              </w:rPr>
            </w:pPr>
            <w:r>
              <w:rPr>
                <w:rFonts w:ascii="宋体" w:hAnsi="宋体" w:cs="宋体" w:hint="eastAsia"/>
                <w:szCs w:val="21"/>
              </w:rPr>
              <w:t>1、</w:t>
            </w:r>
            <w:r w:rsidR="004B5E61" w:rsidRPr="00752DBF">
              <w:rPr>
                <w:rFonts w:ascii="宋体" w:hAnsi="宋体" w:cs="宋体" w:hint="eastAsia"/>
                <w:szCs w:val="21"/>
              </w:rPr>
              <w:t>履行备案手续</w:t>
            </w:r>
            <w:r w:rsidR="001F4E3E">
              <w:rPr>
                <w:rFonts w:ascii="宋体" w:hAnsi="宋体" w:cs="宋体" w:hint="eastAsia"/>
                <w:szCs w:val="21"/>
              </w:rPr>
              <w:t>情况</w:t>
            </w:r>
            <w:r w:rsidR="001F4E3E">
              <w:rPr>
                <w:rFonts w:ascii="宋体" w:hAnsi="宋体" w:cs="宋体"/>
                <w:szCs w:val="21"/>
              </w:rPr>
              <w:t>；</w:t>
            </w:r>
          </w:p>
          <w:p w:rsidR="004B5E61" w:rsidRPr="00752DBF" w:rsidRDefault="00872723" w:rsidP="004B5E61">
            <w:pPr>
              <w:rPr>
                <w:rFonts w:ascii="宋体" w:hAnsi="宋体" w:cs="宋体"/>
                <w:szCs w:val="21"/>
              </w:rPr>
            </w:pPr>
            <w:r>
              <w:rPr>
                <w:rFonts w:ascii="宋体" w:hAnsi="宋体" w:cs="宋体" w:hint="eastAsia"/>
                <w:szCs w:val="21"/>
              </w:rPr>
              <w:t>2、</w:t>
            </w:r>
            <w:r w:rsidR="004B5E61" w:rsidRPr="00752DBF">
              <w:rPr>
                <w:rFonts w:ascii="宋体" w:hAnsi="宋体" w:cs="宋体" w:hint="eastAsia"/>
                <w:szCs w:val="21"/>
              </w:rPr>
              <w:t>备案信息</w:t>
            </w:r>
            <w:r w:rsidR="003100F0">
              <w:rPr>
                <w:rFonts w:ascii="宋体" w:hAnsi="宋体" w:cs="宋体" w:hint="eastAsia"/>
                <w:szCs w:val="21"/>
              </w:rPr>
              <w:t>情况</w:t>
            </w:r>
            <w:r w:rsidR="004B5E61" w:rsidRPr="00752DBF">
              <w:rPr>
                <w:rFonts w:ascii="宋体" w:hAnsi="宋体" w:cs="宋体" w:hint="eastAsia"/>
                <w:szCs w:val="21"/>
              </w:rPr>
              <w:t>；</w:t>
            </w:r>
          </w:p>
          <w:p w:rsidR="004B5E61" w:rsidRPr="00752DBF" w:rsidRDefault="00872723" w:rsidP="004B5E61">
            <w:pPr>
              <w:rPr>
                <w:rFonts w:ascii="宋体" w:hAnsi="宋体" w:cs="宋体"/>
                <w:szCs w:val="21"/>
              </w:rPr>
            </w:pPr>
            <w:r>
              <w:rPr>
                <w:rFonts w:ascii="宋体" w:hAnsi="宋体" w:cs="宋体" w:hint="eastAsia"/>
                <w:szCs w:val="21"/>
              </w:rPr>
              <w:t>3、</w:t>
            </w:r>
            <w:r w:rsidR="004B5E61" w:rsidRPr="00752DBF">
              <w:rPr>
                <w:rFonts w:ascii="宋体" w:hAnsi="宋体" w:cs="宋体" w:hint="eastAsia"/>
                <w:szCs w:val="21"/>
              </w:rPr>
              <w:t>开展投资经营活动</w:t>
            </w:r>
            <w:r w:rsidR="003100F0">
              <w:rPr>
                <w:rFonts w:ascii="宋体" w:hAnsi="宋体" w:cs="宋体" w:hint="eastAsia"/>
                <w:szCs w:val="21"/>
              </w:rPr>
              <w:t>情况</w:t>
            </w:r>
            <w:r w:rsidR="004B5E61" w:rsidRPr="00752DBF">
              <w:rPr>
                <w:rFonts w:ascii="宋体" w:hAnsi="宋体" w:cs="宋体" w:hint="eastAsia"/>
                <w:szCs w:val="21"/>
              </w:rPr>
              <w:t>；</w:t>
            </w:r>
          </w:p>
          <w:p w:rsidR="004B5E61" w:rsidRPr="00752DBF" w:rsidRDefault="00872723" w:rsidP="004B5E61">
            <w:pPr>
              <w:rPr>
                <w:rFonts w:ascii="宋体" w:hAnsi="宋体" w:cs="宋体"/>
                <w:szCs w:val="21"/>
              </w:rPr>
            </w:pPr>
            <w:r>
              <w:rPr>
                <w:rFonts w:ascii="宋体" w:hAnsi="宋体" w:cs="宋体" w:hint="eastAsia"/>
                <w:szCs w:val="21"/>
              </w:rPr>
              <w:t>4、</w:t>
            </w:r>
            <w:r w:rsidR="004B5E61" w:rsidRPr="00752DBF">
              <w:rPr>
                <w:rFonts w:ascii="宋体" w:hAnsi="宋体" w:cs="宋体" w:hint="eastAsia"/>
                <w:szCs w:val="21"/>
              </w:rPr>
              <w:t>触发国家安全审查</w:t>
            </w:r>
            <w:r w:rsidR="003100F0">
              <w:rPr>
                <w:rFonts w:ascii="宋体" w:hAnsi="宋体" w:cs="宋体" w:hint="eastAsia"/>
                <w:szCs w:val="21"/>
              </w:rPr>
              <w:t>情况</w:t>
            </w:r>
            <w:r w:rsidR="004B5E61" w:rsidRPr="00752DBF">
              <w:rPr>
                <w:rFonts w:ascii="宋体" w:hAnsi="宋体" w:cs="宋体" w:hint="eastAsia"/>
                <w:szCs w:val="21"/>
              </w:rPr>
              <w:t>；</w:t>
            </w:r>
          </w:p>
          <w:p w:rsidR="004B5E61" w:rsidRPr="009B457E" w:rsidRDefault="00872723" w:rsidP="009B457E">
            <w:pPr>
              <w:rPr>
                <w:rFonts w:ascii="宋体" w:hAnsi="宋体" w:cs="宋体"/>
                <w:szCs w:val="21"/>
              </w:rPr>
            </w:pPr>
            <w:r>
              <w:rPr>
                <w:rFonts w:ascii="宋体" w:hAnsi="宋体" w:cs="宋体" w:hint="eastAsia"/>
                <w:szCs w:val="21"/>
              </w:rPr>
              <w:t>5、</w:t>
            </w:r>
            <w:r w:rsidR="004B5E61" w:rsidRPr="00752DBF">
              <w:rPr>
                <w:rFonts w:ascii="宋体" w:hAnsi="宋体" w:cs="宋体" w:hint="eastAsia"/>
                <w:szCs w:val="21"/>
              </w:rPr>
              <w:t>《备案回执》</w:t>
            </w:r>
            <w:r w:rsidR="009B457E">
              <w:rPr>
                <w:rFonts w:ascii="宋体" w:hAnsi="宋体" w:cs="宋体" w:hint="eastAsia"/>
                <w:szCs w:val="21"/>
              </w:rPr>
              <w:t>管理</w:t>
            </w:r>
            <w:r w:rsidR="009B457E">
              <w:rPr>
                <w:rFonts w:ascii="宋体" w:hAnsi="宋体" w:cs="宋体"/>
                <w:szCs w:val="21"/>
              </w:rPr>
              <w:t>和</w:t>
            </w:r>
            <w:r w:rsidR="009B457E">
              <w:rPr>
                <w:rFonts w:ascii="宋体" w:hAnsi="宋体" w:cs="宋体" w:hint="eastAsia"/>
                <w:szCs w:val="21"/>
              </w:rPr>
              <w:lastRenderedPageBreak/>
              <w:t>使用</w:t>
            </w:r>
            <w:r w:rsidR="009B457E">
              <w:rPr>
                <w:rFonts w:ascii="宋体" w:hAnsi="宋体" w:cs="宋体"/>
                <w:szCs w:val="21"/>
              </w:rPr>
              <w:t>情况</w:t>
            </w:r>
            <w:r w:rsidR="009B457E">
              <w:rPr>
                <w:rFonts w:ascii="宋体" w:hAnsi="宋体" w:cs="宋体" w:hint="eastAsia"/>
                <w:szCs w:val="21"/>
              </w:rPr>
              <w:t>。</w:t>
            </w:r>
          </w:p>
        </w:tc>
        <w:tc>
          <w:tcPr>
            <w:tcW w:w="5363" w:type="dxa"/>
            <w:vMerge w:val="restart"/>
            <w:tcBorders>
              <w:top w:val="nil"/>
              <w:left w:val="single" w:sz="4" w:space="0" w:color="auto"/>
              <w:bottom w:val="single" w:sz="4" w:space="0" w:color="000000"/>
              <w:right w:val="single" w:sz="4" w:space="0" w:color="auto"/>
            </w:tcBorders>
            <w:vAlign w:val="center"/>
          </w:tcPr>
          <w:p w:rsidR="004B5E61" w:rsidRPr="001F1B1A" w:rsidRDefault="004B5E61" w:rsidP="004B5E61">
            <w:pPr>
              <w:jc w:val="left"/>
              <w:rPr>
                <w:rFonts w:ascii="宋体" w:hAnsi="宋体" w:cs="宋体"/>
                <w:b/>
                <w:szCs w:val="21"/>
              </w:rPr>
            </w:pPr>
            <w:r w:rsidRPr="001F1B1A">
              <w:rPr>
                <w:rFonts w:ascii="宋体" w:hAnsi="宋体" w:cs="宋体" w:hint="eastAsia"/>
                <w:b/>
                <w:szCs w:val="21"/>
              </w:rPr>
              <w:lastRenderedPageBreak/>
              <w:t>《外商投资企业设立及变更备案管理暂行办法》</w:t>
            </w:r>
            <w:r w:rsidR="00C55F70" w:rsidRPr="001F1B1A">
              <w:rPr>
                <w:rFonts w:ascii="宋体" w:hAnsi="宋体" w:cs="宋体" w:hint="eastAsia"/>
                <w:b/>
                <w:szCs w:val="21"/>
              </w:rPr>
              <w:t>（中华人民共和国商务部令2016年第3号）</w:t>
            </w:r>
          </w:p>
          <w:p w:rsidR="004B5E61" w:rsidRPr="00752DBF" w:rsidRDefault="004B5E61" w:rsidP="004B5E61">
            <w:pPr>
              <w:jc w:val="left"/>
              <w:rPr>
                <w:rFonts w:ascii="宋体" w:hAnsi="宋体" w:cs="宋体"/>
                <w:szCs w:val="21"/>
              </w:rPr>
            </w:pPr>
            <w:r w:rsidRPr="00752DBF">
              <w:rPr>
                <w:rFonts w:ascii="宋体" w:hAnsi="宋体" w:cs="宋体" w:hint="eastAsia"/>
                <w:szCs w:val="21"/>
              </w:rPr>
              <w:t>第十四条 商务主管部门对外商投资企业及其投资者遵守本办法情况实施监督检查。</w:t>
            </w:r>
          </w:p>
          <w:p w:rsidR="00127FB0" w:rsidRPr="00127FB0" w:rsidRDefault="00127FB0" w:rsidP="00127FB0">
            <w:pPr>
              <w:widowControl/>
              <w:jc w:val="left"/>
              <w:rPr>
                <w:rFonts w:ascii="宋体" w:hAnsi="宋体" w:cs="宋体"/>
                <w:bCs/>
                <w:szCs w:val="21"/>
              </w:rPr>
            </w:pPr>
            <w:r w:rsidRPr="00127FB0">
              <w:rPr>
                <w:rFonts w:ascii="宋体" w:hAnsi="宋体" w:cs="宋体" w:hint="eastAsia"/>
                <w:bCs/>
                <w:szCs w:val="21"/>
              </w:rPr>
              <w:t>第十九条</w:t>
            </w:r>
            <w:r w:rsidRPr="00127FB0">
              <w:rPr>
                <w:rFonts w:ascii="宋体" w:hAnsi="宋体" w:cs="宋体"/>
                <w:bCs/>
                <w:szCs w:val="21"/>
              </w:rPr>
              <w:t xml:space="preserve"> </w:t>
            </w:r>
            <w:r w:rsidRPr="00127FB0">
              <w:rPr>
                <w:rFonts w:ascii="宋体" w:hAnsi="宋体" w:cs="宋体" w:hint="eastAsia"/>
                <w:bCs/>
                <w:szCs w:val="21"/>
              </w:rPr>
              <w:t>商务主管部门对外商投资企业及其投资者进行监督检查的内容包括：</w:t>
            </w:r>
          </w:p>
          <w:p w:rsidR="00127FB0" w:rsidRPr="00127FB0" w:rsidRDefault="00127FB0" w:rsidP="00127FB0">
            <w:pPr>
              <w:widowControl/>
              <w:jc w:val="left"/>
              <w:rPr>
                <w:rFonts w:ascii="宋体" w:hAnsi="宋体" w:cs="宋体"/>
                <w:bCs/>
                <w:szCs w:val="21"/>
              </w:rPr>
            </w:pPr>
            <w:r w:rsidRPr="00127FB0">
              <w:rPr>
                <w:rFonts w:ascii="宋体" w:hAnsi="宋体" w:cs="宋体" w:hint="eastAsia"/>
                <w:bCs/>
                <w:szCs w:val="21"/>
              </w:rPr>
              <w:t>（一）是否按照本办法规定履行备案手续；</w:t>
            </w:r>
          </w:p>
          <w:p w:rsidR="00127FB0" w:rsidRPr="00127FB0" w:rsidRDefault="00127FB0" w:rsidP="00127FB0">
            <w:pPr>
              <w:widowControl/>
              <w:jc w:val="left"/>
              <w:rPr>
                <w:rFonts w:ascii="宋体" w:hAnsi="宋体" w:cs="宋体"/>
                <w:bCs/>
                <w:szCs w:val="21"/>
              </w:rPr>
            </w:pPr>
            <w:r w:rsidRPr="00127FB0">
              <w:rPr>
                <w:rFonts w:ascii="宋体" w:hAnsi="宋体" w:cs="宋体" w:hint="eastAsia"/>
                <w:bCs/>
                <w:szCs w:val="21"/>
              </w:rPr>
              <w:lastRenderedPageBreak/>
              <w:t>（二）外商投资企业或其投资者所填报的备案信息是否真实、准确、完整；</w:t>
            </w:r>
          </w:p>
          <w:p w:rsidR="00127FB0" w:rsidRPr="00127FB0" w:rsidRDefault="00127FB0" w:rsidP="00127FB0">
            <w:pPr>
              <w:widowControl/>
              <w:jc w:val="left"/>
              <w:rPr>
                <w:rFonts w:ascii="宋体" w:hAnsi="宋体" w:cs="宋体"/>
                <w:bCs/>
                <w:szCs w:val="21"/>
              </w:rPr>
            </w:pPr>
            <w:r w:rsidRPr="00127FB0">
              <w:rPr>
                <w:rFonts w:ascii="宋体" w:hAnsi="宋体" w:cs="宋体" w:hint="eastAsia"/>
                <w:bCs/>
                <w:szCs w:val="21"/>
              </w:rPr>
              <w:t>（三）是否在国家规定实施准入特别管理措施中所列的禁止投资领域开展投资经营活动；</w:t>
            </w:r>
          </w:p>
          <w:p w:rsidR="00127FB0" w:rsidRPr="00127FB0" w:rsidRDefault="00127FB0" w:rsidP="00127FB0">
            <w:pPr>
              <w:widowControl/>
              <w:jc w:val="left"/>
              <w:rPr>
                <w:rFonts w:ascii="宋体" w:hAnsi="宋体" w:cs="宋体"/>
                <w:bCs/>
                <w:szCs w:val="21"/>
              </w:rPr>
            </w:pPr>
            <w:r w:rsidRPr="00127FB0">
              <w:rPr>
                <w:rFonts w:ascii="宋体" w:hAnsi="宋体" w:cs="宋体" w:hint="eastAsia"/>
                <w:bCs/>
                <w:szCs w:val="21"/>
              </w:rPr>
              <w:t>（四）是否未经审批在国家规定实施准入特别管理措施中所列的限制投资领域开展投资经营活动；</w:t>
            </w:r>
          </w:p>
          <w:p w:rsidR="00127FB0" w:rsidRPr="00127FB0" w:rsidRDefault="00127FB0" w:rsidP="00127FB0">
            <w:pPr>
              <w:widowControl/>
              <w:jc w:val="left"/>
              <w:rPr>
                <w:rFonts w:ascii="宋体" w:hAnsi="宋体" w:cs="宋体"/>
                <w:bCs/>
                <w:szCs w:val="21"/>
              </w:rPr>
            </w:pPr>
            <w:r w:rsidRPr="00127FB0">
              <w:rPr>
                <w:rFonts w:ascii="宋体" w:hAnsi="宋体" w:cs="宋体" w:hint="eastAsia"/>
                <w:bCs/>
                <w:szCs w:val="21"/>
              </w:rPr>
              <w:t>（五）是否存在触发国家安全审查的情形；</w:t>
            </w:r>
          </w:p>
          <w:p w:rsidR="00127FB0" w:rsidRPr="00127FB0" w:rsidRDefault="00127FB0" w:rsidP="00127FB0">
            <w:pPr>
              <w:widowControl/>
              <w:jc w:val="left"/>
              <w:rPr>
                <w:rFonts w:ascii="宋体" w:hAnsi="宋体" w:cs="宋体"/>
                <w:bCs/>
                <w:szCs w:val="21"/>
              </w:rPr>
            </w:pPr>
            <w:r w:rsidRPr="00127FB0">
              <w:rPr>
                <w:rFonts w:ascii="宋体" w:hAnsi="宋体" w:cs="宋体" w:hint="eastAsia"/>
                <w:bCs/>
                <w:szCs w:val="21"/>
              </w:rPr>
              <w:t>（六）是否伪造、变造、出租、出借、转让《备案回执》；</w:t>
            </w:r>
          </w:p>
          <w:p w:rsidR="004B5E61" w:rsidRPr="00127FB0" w:rsidRDefault="00127FB0" w:rsidP="00127FB0">
            <w:pPr>
              <w:widowControl/>
              <w:jc w:val="left"/>
              <w:rPr>
                <w:rFonts w:ascii="宋体" w:hAnsi="宋体" w:cs="宋体"/>
                <w:bCs/>
                <w:szCs w:val="21"/>
              </w:rPr>
            </w:pPr>
            <w:r w:rsidRPr="00127FB0">
              <w:rPr>
                <w:rFonts w:ascii="宋体" w:hAnsi="宋体" w:cs="宋体" w:hint="eastAsia"/>
                <w:bCs/>
                <w:szCs w:val="21"/>
              </w:rPr>
              <w:t>（七）是否履行商务主管部门作出的行政处罚决定。</w:t>
            </w:r>
          </w:p>
        </w:tc>
        <w:tc>
          <w:tcPr>
            <w:tcW w:w="1466" w:type="dxa"/>
            <w:vMerge w:val="restart"/>
            <w:tcBorders>
              <w:top w:val="nil"/>
              <w:left w:val="single" w:sz="4" w:space="0" w:color="auto"/>
              <w:bottom w:val="single" w:sz="4" w:space="0" w:color="000000"/>
              <w:right w:val="single" w:sz="4" w:space="0" w:color="auto"/>
            </w:tcBorders>
            <w:vAlign w:val="center"/>
          </w:tcPr>
          <w:p w:rsidR="009D2BE6" w:rsidRDefault="004B5E61" w:rsidP="004B5E61">
            <w:pPr>
              <w:rPr>
                <w:rFonts w:ascii="宋体" w:hAnsi="宋体" w:cs="宋体" w:hint="eastAsia"/>
                <w:szCs w:val="21"/>
              </w:rPr>
            </w:pPr>
            <w:r w:rsidRPr="00752DBF">
              <w:rPr>
                <w:rFonts w:ascii="宋体" w:hAnsi="宋体" w:cs="宋体" w:hint="eastAsia"/>
                <w:szCs w:val="21"/>
              </w:rPr>
              <w:lastRenderedPageBreak/>
              <w:t>现场查验</w:t>
            </w:r>
          </w:p>
          <w:p w:rsidR="004B5E61" w:rsidRPr="00752DBF" w:rsidRDefault="004B5E61" w:rsidP="004B5E61">
            <w:pPr>
              <w:rPr>
                <w:rFonts w:ascii="宋体" w:hAnsi="宋体" w:cs="宋体"/>
                <w:szCs w:val="21"/>
              </w:rPr>
            </w:pPr>
            <w:bookmarkStart w:id="0" w:name="_GoBack"/>
            <w:bookmarkEnd w:id="0"/>
            <w:r w:rsidRPr="00752DBF">
              <w:rPr>
                <w:rFonts w:ascii="宋体" w:hAnsi="宋体" w:cs="宋体" w:hint="eastAsia"/>
                <w:szCs w:val="21"/>
              </w:rPr>
              <w:t>书面检查</w:t>
            </w:r>
          </w:p>
          <w:p w:rsidR="004B5E61" w:rsidRPr="00752DBF" w:rsidRDefault="004B5E61" w:rsidP="004B5E61">
            <w:pPr>
              <w:widowControl/>
              <w:jc w:val="center"/>
              <w:rPr>
                <w:rFonts w:ascii="宋体" w:hAnsi="宋体" w:cs="宋体"/>
                <w:kern w:val="0"/>
                <w:szCs w:val="21"/>
              </w:rPr>
            </w:pPr>
          </w:p>
          <w:p w:rsidR="004B5E61" w:rsidRPr="00752DBF" w:rsidRDefault="004B5E61" w:rsidP="004B5E61">
            <w:pPr>
              <w:widowControl/>
              <w:jc w:val="center"/>
              <w:rPr>
                <w:rFonts w:ascii="宋体" w:hAnsi="宋体" w:cs="宋体"/>
                <w:kern w:val="0"/>
                <w:szCs w:val="21"/>
              </w:rPr>
            </w:pPr>
          </w:p>
          <w:p w:rsidR="004B5E61" w:rsidRPr="00752DBF" w:rsidRDefault="004B5E61" w:rsidP="004B5E61">
            <w:pPr>
              <w:widowControl/>
              <w:jc w:val="center"/>
              <w:rPr>
                <w:rFonts w:ascii="宋体" w:hAnsi="宋体" w:cs="宋体"/>
                <w:kern w:val="0"/>
                <w:szCs w:val="21"/>
              </w:rPr>
            </w:pPr>
          </w:p>
        </w:tc>
        <w:tc>
          <w:tcPr>
            <w:tcW w:w="923" w:type="dxa"/>
            <w:vMerge w:val="restart"/>
            <w:tcBorders>
              <w:top w:val="single" w:sz="4" w:space="0" w:color="auto"/>
              <w:left w:val="single" w:sz="4" w:space="0" w:color="auto"/>
              <w:bottom w:val="single" w:sz="4" w:space="0" w:color="000000"/>
              <w:right w:val="single" w:sz="4" w:space="0" w:color="000000"/>
            </w:tcBorders>
            <w:vAlign w:val="center"/>
          </w:tcPr>
          <w:p w:rsidR="004B5E61" w:rsidRPr="00752DBF" w:rsidRDefault="004B5E61" w:rsidP="004B5E61">
            <w:pPr>
              <w:widowControl/>
              <w:jc w:val="center"/>
              <w:rPr>
                <w:rFonts w:ascii="宋体" w:hAnsi="宋体" w:cs="宋体"/>
                <w:kern w:val="0"/>
                <w:szCs w:val="21"/>
              </w:rPr>
            </w:pPr>
          </w:p>
        </w:tc>
      </w:tr>
      <w:tr w:rsidR="004B5E61" w:rsidRPr="00752DBF" w:rsidTr="004B5E61">
        <w:trPr>
          <w:trHeight w:val="734"/>
        </w:trPr>
        <w:tc>
          <w:tcPr>
            <w:tcW w:w="672"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1346"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988"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894"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2397"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5363"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1466"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923" w:type="dxa"/>
            <w:vMerge/>
            <w:tcBorders>
              <w:top w:val="single" w:sz="4" w:space="0" w:color="auto"/>
              <w:left w:val="single" w:sz="4" w:space="0" w:color="auto"/>
              <w:bottom w:val="single" w:sz="4" w:space="0" w:color="000000"/>
              <w:right w:val="single" w:sz="4" w:space="0" w:color="000000"/>
            </w:tcBorders>
            <w:vAlign w:val="center"/>
          </w:tcPr>
          <w:p w:rsidR="004B5E61" w:rsidRPr="00752DBF" w:rsidRDefault="004B5E61" w:rsidP="004B5E61">
            <w:pPr>
              <w:widowControl/>
              <w:jc w:val="left"/>
              <w:rPr>
                <w:rFonts w:ascii="宋体" w:hAnsi="宋体" w:cs="宋体"/>
                <w:kern w:val="0"/>
                <w:szCs w:val="21"/>
              </w:rPr>
            </w:pPr>
          </w:p>
        </w:tc>
      </w:tr>
      <w:tr w:rsidR="004B5E61" w:rsidRPr="00752DBF" w:rsidTr="004B5E61">
        <w:trPr>
          <w:trHeight w:val="1380"/>
        </w:trPr>
        <w:tc>
          <w:tcPr>
            <w:tcW w:w="672"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1346"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988"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894"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2397"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5363"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1466" w:type="dxa"/>
            <w:vMerge/>
            <w:tcBorders>
              <w:top w:val="nil"/>
              <w:left w:val="single" w:sz="4" w:space="0" w:color="auto"/>
              <w:bottom w:val="single" w:sz="4" w:space="0" w:color="000000"/>
              <w:right w:val="single" w:sz="4" w:space="0" w:color="auto"/>
            </w:tcBorders>
            <w:vAlign w:val="center"/>
          </w:tcPr>
          <w:p w:rsidR="004B5E61" w:rsidRPr="00752DBF" w:rsidRDefault="004B5E61" w:rsidP="004B5E61">
            <w:pPr>
              <w:widowControl/>
              <w:jc w:val="left"/>
              <w:rPr>
                <w:rFonts w:ascii="宋体" w:hAnsi="宋体" w:cs="宋体"/>
                <w:kern w:val="0"/>
                <w:szCs w:val="21"/>
              </w:rPr>
            </w:pPr>
          </w:p>
        </w:tc>
        <w:tc>
          <w:tcPr>
            <w:tcW w:w="923" w:type="dxa"/>
            <w:vMerge/>
            <w:tcBorders>
              <w:top w:val="single" w:sz="4" w:space="0" w:color="auto"/>
              <w:left w:val="single" w:sz="4" w:space="0" w:color="auto"/>
              <w:bottom w:val="single" w:sz="4" w:space="0" w:color="000000"/>
              <w:right w:val="single" w:sz="4" w:space="0" w:color="000000"/>
            </w:tcBorders>
            <w:vAlign w:val="center"/>
          </w:tcPr>
          <w:p w:rsidR="004B5E61" w:rsidRPr="00752DBF" w:rsidRDefault="004B5E61" w:rsidP="004B5E61">
            <w:pPr>
              <w:widowControl/>
              <w:jc w:val="left"/>
              <w:rPr>
                <w:rFonts w:ascii="宋体" w:hAnsi="宋体" w:cs="宋体"/>
                <w:kern w:val="0"/>
                <w:szCs w:val="21"/>
              </w:rPr>
            </w:pPr>
          </w:p>
        </w:tc>
      </w:tr>
    </w:tbl>
    <w:p w:rsidR="0017162D" w:rsidRDefault="0017162D">
      <w:pPr>
        <w:rPr>
          <w:b/>
          <w:sz w:val="28"/>
          <w:szCs w:val="28"/>
        </w:rPr>
      </w:pPr>
    </w:p>
    <w:sectPr w:rsidR="0017162D">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BA" w:rsidRDefault="005A7BBA" w:rsidP="00F54A61">
      <w:r>
        <w:separator/>
      </w:r>
    </w:p>
  </w:endnote>
  <w:endnote w:type="continuationSeparator" w:id="0">
    <w:p w:rsidR="005A7BBA" w:rsidRDefault="005A7BBA" w:rsidP="00F5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61" w:rsidRDefault="00F54A61">
    <w:pPr>
      <w:pStyle w:val="a3"/>
      <w:jc w:val="center"/>
    </w:pPr>
    <w:r>
      <w:fldChar w:fldCharType="begin"/>
    </w:r>
    <w:r>
      <w:instrText>PAGE   \* MERGEFORMAT</w:instrText>
    </w:r>
    <w:r>
      <w:fldChar w:fldCharType="separate"/>
    </w:r>
    <w:r w:rsidR="009D2BE6" w:rsidRPr="009D2BE6">
      <w:rPr>
        <w:noProof/>
        <w:lang w:val="zh-CN"/>
      </w:rPr>
      <w:t>1</w:t>
    </w:r>
    <w:r>
      <w:fldChar w:fldCharType="end"/>
    </w:r>
  </w:p>
  <w:p w:rsidR="00F54A61" w:rsidRDefault="00F54A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BA" w:rsidRDefault="005A7BBA" w:rsidP="00F54A61">
      <w:r>
        <w:separator/>
      </w:r>
    </w:p>
  </w:footnote>
  <w:footnote w:type="continuationSeparator" w:id="0">
    <w:p w:rsidR="005A7BBA" w:rsidRDefault="005A7BBA" w:rsidP="00F54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1CD7"/>
    <w:rsid w:val="00040508"/>
    <w:rsid w:val="0005497B"/>
    <w:rsid w:val="000774F8"/>
    <w:rsid w:val="00127FB0"/>
    <w:rsid w:val="0014094D"/>
    <w:rsid w:val="00146B16"/>
    <w:rsid w:val="0017162D"/>
    <w:rsid w:val="001974E5"/>
    <w:rsid w:val="001F0E4D"/>
    <w:rsid w:val="001F1B1A"/>
    <w:rsid w:val="001F4E3E"/>
    <w:rsid w:val="00216A2F"/>
    <w:rsid w:val="00216C99"/>
    <w:rsid w:val="002801CA"/>
    <w:rsid w:val="002C278C"/>
    <w:rsid w:val="002D3104"/>
    <w:rsid w:val="002F1DA1"/>
    <w:rsid w:val="003100F0"/>
    <w:rsid w:val="003615F3"/>
    <w:rsid w:val="003A07FB"/>
    <w:rsid w:val="003A11A3"/>
    <w:rsid w:val="003E24F7"/>
    <w:rsid w:val="0049604B"/>
    <w:rsid w:val="004A3248"/>
    <w:rsid w:val="004B5E61"/>
    <w:rsid w:val="004B6F71"/>
    <w:rsid w:val="004B7276"/>
    <w:rsid w:val="004D4C4A"/>
    <w:rsid w:val="00505958"/>
    <w:rsid w:val="00507D65"/>
    <w:rsid w:val="005147AD"/>
    <w:rsid w:val="00522EAA"/>
    <w:rsid w:val="00552847"/>
    <w:rsid w:val="0057726B"/>
    <w:rsid w:val="005A7BBA"/>
    <w:rsid w:val="005E4AFE"/>
    <w:rsid w:val="005F4CE2"/>
    <w:rsid w:val="005F5198"/>
    <w:rsid w:val="00611188"/>
    <w:rsid w:val="00612BD8"/>
    <w:rsid w:val="0062435E"/>
    <w:rsid w:val="006A0D93"/>
    <w:rsid w:val="006C1CD7"/>
    <w:rsid w:val="006E2B5D"/>
    <w:rsid w:val="00727536"/>
    <w:rsid w:val="00742039"/>
    <w:rsid w:val="00752DBF"/>
    <w:rsid w:val="007614AF"/>
    <w:rsid w:val="007B567E"/>
    <w:rsid w:val="007F1877"/>
    <w:rsid w:val="00872723"/>
    <w:rsid w:val="00875287"/>
    <w:rsid w:val="008C24BF"/>
    <w:rsid w:val="00922DD7"/>
    <w:rsid w:val="00933D65"/>
    <w:rsid w:val="00943B11"/>
    <w:rsid w:val="00957B64"/>
    <w:rsid w:val="0097040F"/>
    <w:rsid w:val="00977372"/>
    <w:rsid w:val="009B457E"/>
    <w:rsid w:val="009D2BE6"/>
    <w:rsid w:val="009E5130"/>
    <w:rsid w:val="00A30808"/>
    <w:rsid w:val="00A67753"/>
    <w:rsid w:val="00A72A7B"/>
    <w:rsid w:val="00AE4B60"/>
    <w:rsid w:val="00B05036"/>
    <w:rsid w:val="00B72189"/>
    <w:rsid w:val="00B74444"/>
    <w:rsid w:val="00B804E5"/>
    <w:rsid w:val="00BE7E3C"/>
    <w:rsid w:val="00C426B9"/>
    <w:rsid w:val="00C50ADD"/>
    <w:rsid w:val="00C55F70"/>
    <w:rsid w:val="00C65DBF"/>
    <w:rsid w:val="00C6616C"/>
    <w:rsid w:val="00C95091"/>
    <w:rsid w:val="00CB6C64"/>
    <w:rsid w:val="00CE04C5"/>
    <w:rsid w:val="00D46D2E"/>
    <w:rsid w:val="00DC5AA0"/>
    <w:rsid w:val="00E66F34"/>
    <w:rsid w:val="00E67B04"/>
    <w:rsid w:val="00E71B7E"/>
    <w:rsid w:val="00EC28CF"/>
    <w:rsid w:val="00F31046"/>
    <w:rsid w:val="00F43845"/>
    <w:rsid w:val="00F54A61"/>
    <w:rsid w:val="00F96C77"/>
    <w:rsid w:val="00FB7297"/>
    <w:rsid w:val="1A3A3424"/>
    <w:rsid w:val="593B4473"/>
    <w:rsid w:val="5CD36258"/>
    <w:rsid w:val="61083A59"/>
    <w:rsid w:val="70831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187D52-73CD-480C-81ED-12B5DEE1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qFormat/>
    <w:locked/>
    <w:rPr>
      <w:rFonts w:ascii="Times New Roman" w:eastAsia="宋体" w:cs="Times New Roman"/>
      <w:color w:val="auto"/>
      <w:sz w:val="18"/>
      <w:szCs w:val="18"/>
    </w:rPr>
  </w:style>
  <w:style w:type="character" w:customStyle="1" w:styleId="Char0">
    <w:name w:val="页眉 Char"/>
    <w:link w:val="a4"/>
    <w:uiPriority w:val="99"/>
    <w:semiHidden/>
    <w:qFormat/>
    <w:locked/>
    <w:rPr>
      <w:rFonts w:ascii="Times New Roman" w:eastAsia="宋体"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杜峰</dc:creator>
  <cp:lastModifiedBy>项目处</cp:lastModifiedBy>
  <cp:revision>51</cp:revision>
  <cp:lastPrinted>2017-03-31T08:51:00Z</cp:lastPrinted>
  <dcterms:created xsi:type="dcterms:W3CDTF">2017-03-30T01:49:00Z</dcterms:created>
  <dcterms:modified xsi:type="dcterms:W3CDTF">2017-12-01T11:20:00Z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