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吉林省内外贸一体化企业征集范围和条件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企业在中华人民共和国境内工商注册登记并具有独立法人资格。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 w:cs="仿宋_GB2312"/>
          <w:sz w:val="32"/>
          <w:szCs w:val="32"/>
        </w:rPr>
        <w:t>企业遵纪守法，诚信经营，银行信用等级良好。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 w:cs="仿宋_GB2312"/>
          <w:sz w:val="32"/>
          <w:szCs w:val="32"/>
        </w:rPr>
        <w:t>企业主营业务规模位居全省同行业前列，近3年营收状况总体呈增长态势。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 w:cs="仿宋_GB2312"/>
          <w:sz w:val="32"/>
          <w:szCs w:val="32"/>
        </w:rPr>
        <w:t>开展内外贸一体化积极性较高，包括已经在开展内外贸一体化业务的、有条件开展内外贸一体化业务的、有想法开展内外贸一体化业务的。</w:t>
      </w:r>
      <w:bookmarkStart w:id="0" w:name="_GoBack"/>
      <w:bookmarkEnd w:id="0"/>
    </w:p>
    <w:sectPr>
      <w:pgSz w:w="11907" w:h="16840"/>
      <w:pgMar w:top="1531" w:right="1418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F5F5B69"/>
    <w:rsid w:val="6F3F0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237</Characters>
  <Lines>0</Lines>
  <Paragraphs>11</Paragraphs>
  <TotalTime>13</TotalTime>
  <ScaleCrop>false</ScaleCrop>
  <LinksUpToDate>false</LinksUpToDate>
  <CharactersWithSpaces>316</CharactersWithSpaces>
  <Application>WPS Office_11.8.2.1121_F1E327BC-269C-435d-A152-05C5408002CA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inspur</cp:lastModifiedBy>
  <dcterms:modified xsi:type="dcterms:W3CDTF">2025-03-26T10:01:44Z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AD08CA067F3C5E9BE05FE367D76283FE</vt:lpwstr>
  </property>
</Properties>
</file>