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DA26A">
      <w:pPr>
        <w:ind w:left="0" w:firstLine="1100" w:firstLineChars="250"/>
        <w:rPr>
          <w:rFonts w:asci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长春市提振消费专项行动实施方案</w:t>
      </w:r>
    </w:p>
    <w:p w14:paraId="181095CC">
      <w:pPr>
        <w:ind w:firstLine="160" w:firstLineChars="50"/>
        <w:jc w:val="center"/>
        <w:rPr>
          <w:rFonts w:hint="eastAsia" w:ascii="楷体" w:eastAsia="楷体" w:cs="楷体"/>
          <w:sz w:val="32"/>
          <w:szCs w:val="32"/>
        </w:rPr>
      </w:pPr>
      <w:r>
        <w:rPr>
          <w:rFonts w:hint="eastAsia" w:ascii="楷体" w:eastAsia="楷体" w:cs="楷体"/>
          <w:sz w:val="32"/>
          <w:szCs w:val="32"/>
        </w:rPr>
        <w:t>（</w:t>
      </w:r>
      <w:r>
        <w:rPr>
          <w:rFonts w:hint="eastAsia" w:ascii="楷体" w:eastAsia="楷体" w:cs="楷体"/>
          <w:sz w:val="32"/>
          <w:szCs w:val="32"/>
          <w:lang w:eastAsia="zh-CN"/>
        </w:rPr>
        <w:t>征求意见</w:t>
      </w:r>
      <w:r>
        <w:rPr>
          <w:rFonts w:ascii="楷体" w:eastAsia="楷体" w:cs="楷体"/>
          <w:sz w:val="32"/>
          <w:szCs w:val="32"/>
        </w:rPr>
        <w:t>稿</w:t>
      </w:r>
      <w:r>
        <w:rPr>
          <w:rFonts w:hint="eastAsia" w:ascii="楷体" w:eastAsia="楷体" w:cs="楷体"/>
          <w:sz w:val="32"/>
          <w:szCs w:val="32"/>
        </w:rPr>
        <w:t>）</w:t>
      </w:r>
    </w:p>
    <w:p w14:paraId="170ACBE6"/>
    <w:p w14:paraId="118C373B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为贯彻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落实国家和省有关工作要求，开展提振消费专项行动，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结合我市实际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制定本方案。</w:t>
      </w:r>
    </w:p>
    <w:p w14:paraId="788028AC">
      <w:pPr>
        <w:spacing w:line="560" w:lineRule="exact"/>
        <w:ind w:firstLine="640" w:firstLineChars="200"/>
        <w:rPr>
          <w:rFonts w:hint="eastAsia" w:ascii="黑体" w:hAnsi="仿宋_GB2312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eastAsia="黑体" w:cs="黑体"/>
          <w:sz w:val="32"/>
          <w:szCs w:val="32"/>
        </w:rPr>
        <w:t>一、城乡居民增收行动</w:t>
      </w:r>
      <w:bookmarkStart w:id="0" w:name="_GoBack"/>
      <w:bookmarkEnd w:id="0"/>
    </w:p>
    <w:p w14:paraId="5AE762D3">
      <w:pPr>
        <w:spacing w:line="560" w:lineRule="exact"/>
        <w:ind w:left="0" w:firstLine="53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" w:eastAsia="楷体" w:cs="楷体"/>
          <w:b/>
          <w:sz w:val="32"/>
          <w:szCs w:val="32"/>
        </w:rPr>
        <w:t>（一）</w:t>
      </w:r>
      <w:r>
        <w:rPr>
          <w:rFonts w:ascii="楷体" w:eastAsia="楷体" w:cs="楷体"/>
          <w:b/>
          <w:sz w:val="32"/>
          <w:szCs w:val="32"/>
        </w:rPr>
        <w:t>增加工资性收入</w:t>
      </w:r>
      <w:r>
        <w:rPr>
          <w:rFonts w:hint="eastAsia" w:ascii="楷体" w:eastAsia="楷体" w:cs="楷体"/>
          <w:b/>
          <w:sz w:val="32"/>
          <w:szCs w:val="32"/>
        </w:rPr>
        <w:t>。</w:t>
      </w:r>
      <w:r>
        <w:rPr>
          <w:rFonts w:ascii="仿宋_GB2312" w:eastAsia="仿宋_GB2312" w:cs="仿宋_GB2312"/>
          <w:sz w:val="32"/>
          <w:szCs w:val="32"/>
        </w:rPr>
        <w:t>适时适度调整最低工资标准，落实失业保险金随最低工资标准调整联动机制。发挥小微企业就业主渠道作用，扶持个体工商户升级为小微企业。支持</w:t>
      </w:r>
      <w:r>
        <w:rPr>
          <w:rFonts w:hint="eastAsia" w:ascii="仿宋_GB2312" w:eastAsia="仿宋_GB2312" w:cs="仿宋_GB2312"/>
          <w:sz w:val="32"/>
          <w:szCs w:val="32"/>
        </w:rPr>
        <w:t>校友人才、海外人才、吉林籍人才回归回长</w:t>
      </w:r>
      <w:r>
        <w:rPr>
          <w:rFonts w:ascii="仿宋_GB2312" w:eastAsia="仿宋_GB2312" w:cs="仿宋_GB2312"/>
          <w:sz w:val="32"/>
          <w:szCs w:val="32"/>
        </w:rPr>
        <w:t>创新</w:t>
      </w:r>
      <w:r>
        <w:rPr>
          <w:rFonts w:hint="eastAsia" w:ascii="仿宋_GB2312" w:eastAsia="仿宋_GB2312" w:cs="仿宋_GB2312"/>
          <w:sz w:val="32"/>
          <w:szCs w:val="32"/>
        </w:rPr>
        <w:t>创业</w:t>
      </w:r>
      <w:r>
        <w:rPr>
          <w:rFonts w:ascii="仿宋_GB2312" w:eastAsia="仿宋_GB2312" w:cs="仿宋_GB2312"/>
          <w:sz w:val="32"/>
          <w:szCs w:val="32"/>
        </w:rPr>
        <w:t>，支持待岗职工、农民工、高校毕业生等群体创业就业。持续开展</w:t>
      </w:r>
      <w:r>
        <w:rPr>
          <w:rFonts w:hint="eastAsia" w:ascii="仿宋_GB2312" w:eastAsia="仿宋_GB2312" w:cs="仿宋_GB2312"/>
          <w:sz w:val="32"/>
          <w:szCs w:val="32"/>
        </w:rPr>
        <w:t>“</w:t>
      </w:r>
      <w:r>
        <w:rPr>
          <w:rFonts w:ascii="仿宋_GB2312" w:eastAsia="仿宋_GB2312" w:cs="仿宋_GB2312"/>
          <w:sz w:val="32"/>
          <w:szCs w:val="32"/>
        </w:rPr>
        <w:t>春风行动</w:t>
      </w:r>
      <w:r>
        <w:rPr>
          <w:rFonts w:hint="eastAsia" w:ascii="仿宋_GB2312" w:eastAsia="仿宋_GB2312" w:cs="仿宋_GB2312"/>
          <w:sz w:val="32"/>
          <w:szCs w:val="32"/>
        </w:rPr>
        <w:t>”</w:t>
      </w:r>
      <w:r>
        <w:rPr>
          <w:rFonts w:ascii="仿宋_GB2312" w:eastAsia="仿宋_GB2312" w:cs="仿宋_GB2312"/>
          <w:sz w:val="32"/>
          <w:szCs w:val="32"/>
        </w:rPr>
        <w:t>，加大农村劳动力培育力度，2025年实现农村劳动力转移就业100万人次。线上线下一体化创新开展特色招聘活动，力争2025年新增就业岗位9万个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（次）</w:t>
      </w:r>
      <w:r>
        <w:rPr>
          <w:rFonts w:ascii="仿宋_GB2312" w:eastAsia="仿宋_GB2312" w:cs="仿宋_GB2312"/>
          <w:sz w:val="32"/>
          <w:szCs w:val="32"/>
        </w:rPr>
        <w:t>。</w:t>
      </w:r>
      <w:r>
        <w:rPr>
          <w:rFonts w:hint="eastAsia" w:ascii="楷体" w:eastAsia="楷体" w:cs="楷体"/>
          <w:sz w:val="32"/>
          <w:szCs w:val="32"/>
        </w:rPr>
        <w:t>（责任单位：市人社局</w:t>
      </w:r>
      <w:r>
        <w:rPr>
          <w:rFonts w:ascii="楷体" w:eastAsia="楷体" w:cs="楷体"/>
          <w:sz w:val="32"/>
          <w:szCs w:val="32"/>
        </w:rPr>
        <w:t>、市市场监管局</w:t>
      </w:r>
      <w:r>
        <w:rPr>
          <w:rFonts w:hint="eastAsia" w:ascii="楷体" w:eastAsia="楷体" w:cs="楷体"/>
          <w:sz w:val="32"/>
          <w:szCs w:val="32"/>
        </w:rPr>
        <w:t>）</w:t>
      </w:r>
    </w:p>
    <w:p w14:paraId="611D6760">
      <w:pPr>
        <w:spacing w:line="560" w:lineRule="exact"/>
        <w:ind w:left="0" w:firstLine="53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" w:eastAsia="楷体" w:cs="楷体"/>
          <w:b/>
          <w:sz w:val="32"/>
          <w:szCs w:val="32"/>
        </w:rPr>
        <w:t>（二）</w:t>
      </w:r>
      <w:r>
        <w:rPr>
          <w:rFonts w:ascii="楷体" w:eastAsia="楷体" w:cs="楷体"/>
          <w:b/>
          <w:sz w:val="32"/>
          <w:szCs w:val="32"/>
        </w:rPr>
        <w:t>加强</w:t>
      </w:r>
      <w:r>
        <w:rPr>
          <w:rFonts w:hint="eastAsia" w:ascii="楷体" w:eastAsia="楷体" w:cs="楷体"/>
          <w:b/>
          <w:sz w:val="32"/>
          <w:szCs w:val="32"/>
        </w:rPr>
        <w:t>职业技能培训。</w:t>
      </w:r>
      <w:r>
        <w:rPr>
          <w:rFonts w:hint="eastAsia" w:ascii="仿宋_GB2312" w:eastAsia="仿宋_GB2312" w:cs="仿宋_GB2312"/>
          <w:sz w:val="32"/>
          <w:szCs w:val="32"/>
        </w:rPr>
        <w:t>建立覆盖城乡劳动者，适应劳动者多样化、差异化需求的终身职业培训体系</w:t>
      </w:r>
      <w:r>
        <w:rPr>
          <w:rFonts w:ascii="仿宋_GB2312" w:eastAsia="仿宋_GB2312" w:cs="仿宋_GB2312"/>
          <w:sz w:val="32"/>
          <w:szCs w:val="32"/>
        </w:rPr>
        <w:t>。支持企业、公办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高职</w:t>
      </w:r>
      <w:r>
        <w:rPr>
          <w:rFonts w:ascii="仿宋_GB2312" w:eastAsia="仿宋_GB2312" w:cs="仿宋_GB2312"/>
          <w:sz w:val="32"/>
          <w:szCs w:val="32"/>
        </w:rPr>
        <w:t>院校、行业协会、社会组织开展社会化职业技能等级认定。深入开展</w:t>
      </w:r>
      <w:r>
        <w:rPr>
          <w:rFonts w:hint="eastAsia" w:ascii="仿宋_GB2312" w:eastAsia="仿宋_GB2312" w:cs="仿宋_GB2312"/>
          <w:sz w:val="32"/>
          <w:szCs w:val="32"/>
        </w:rPr>
        <w:t>“</w:t>
      </w:r>
      <w:r>
        <w:rPr>
          <w:rFonts w:ascii="仿宋_GB2312" w:eastAsia="仿宋_GB2312" w:cs="仿宋_GB2312"/>
          <w:sz w:val="32"/>
          <w:szCs w:val="32"/>
        </w:rPr>
        <w:t>求学圆梦行动</w:t>
      </w:r>
      <w:r>
        <w:rPr>
          <w:rFonts w:hint="eastAsia" w:ascii="仿宋_GB2312" w:eastAsia="仿宋_GB2312" w:cs="仿宋_GB2312"/>
          <w:sz w:val="32"/>
          <w:szCs w:val="32"/>
        </w:rPr>
        <w:t>”</w:t>
      </w:r>
      <w:r>
        <w:rPr>
          <w:rFonts w:ascii="仿宋_GB2312" w:eastAsia="仿宋_GB2312" w:cs="仿宋_GB2312"/>
          <w:sz w:val="32"/>
          <w:szCs w:val="32"/>
        </w:rPr>
        <w:t>，创新协作路径和补贴方式，2025年计划资助3000名农民工、一线职工和产业工人参加学历继续教育</w:t>
      </w:r>
      <w:r>
        <w:rPr>
          <w:rFonts w:hint="eastAsia" w:ascii="仿宋_GB2312" w:eastAsia="仿宋_GB2312" w:cs="仿宋_GB2312"/>
          <w:sz w:val="32"/>
          <w:szCs w:val="32"/>
        </w:rPr>
        <w:t>。</w:t>
      </w:r>
      <w:r>
        <w:rPr>
          <w:rFonts w:hint="eastAsia" w:ascii="楷体" w:eastAsia="楷体" w:cs="楷体"/>
          <w:sz w:val="32"/>
          <w:szCs w:val="32"/>
        </w:rPr>
        <w:t>（责任单位：市人社局</w:t>
      </w:r>
      <w:r>
        <w:rPr>
          <w:rFonts w:ascii="楷体" w:eastAsia="楷体" w:cs="楷体"/>
          <w:sz w:val="32"/>
          <w:szCs w:val="32"/>
        </w:rPr>
        <w:t>、市教育局</w:t>
      </w:r>
      <w:r>
        <w:rPr>
          <w:rFonts w:hint="eastAsia" w:ascii="楷体" w:eastAsia="楷体" w:cs="楷体"/>
          <w:sz w:val="32"/>
          <w:szCs w:val="32"/>
        </w:rPr>
        <w:t>）</w:t>
      </w:r>
    </w:p>
    <w:p w14:paraId="1FB8CC07">
      <w:pPr>
        <w:spacing w:line="560" w:lineRule="exact"/>
        <w:ind w:left="0" w:firstLine="539"/>
        <w:rPr>
          <w:rFonts w:hint="eastAsia" w:ascii="楷体" w:eastAsia="楷体" w:cs="楷体"/>
          <w:sz w:val="32"/>
          <w:szCs w:val="32"/>
        </w:rPr>
      </w:pPr>
      <w:r>
        <w:rPr>
          <w:rFonts w:hint="eastAsia" w:ascii="楷体" w:eastAsia="楷体" w:cs="楷体"/>
          <w:b/>
          <w:sz w:val="32"/>
          <w:szCs w:val="32"/>
        </w:rPr>
        <w:t>（三）拓宽财产性收入</w:t>
      </w:r>
      <w:r>
        <w:rPr>
          <w:rFonts w:ascii="楷体" w:eastAsia="楷体" w:cs="楷体"/>
          <w:b/>
          <w:sz w:val="32"/>
          <w:szCs w:val="32"/>
        </w:rPr>
        <w:t>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拓宽居民财产性收入增收渠道</w:t>
      </w:r>
      <w:r>
        <w:rPr>
          <w:rFonts w:ascii="仿宋_GB2312" w:eastAsia="仿宋_GB2312" w:cs="仿宋_GB2312"/>
          <w:sz w:val="32"/>
          <w:szCs w:val="32"/>
        </w:rPr>
        <w:t>，支持居民开展投资经营活动，依法增加经营、租金、利息等财产性收入。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鼓励金融机构加强投资理财产品宣传力度，拓展居民投资创富空间。</w:t>
      </w:r>
      <w:r>
        <w:rPr>
          <w:rFonts w:ascii="仿宋_GB2312" w:eastAsia="仿宋_GB2312" w:cs="仿宋_GB2312"/>
          <w:sz w:val="32"/>
          <w:szCs w:val="32"/>
        </w:rPr>
        <w:t>推动商业保险资金、全国社会保障基金等中长期资金在我市投资。为拟上市企业提供沪深北证交所资本市场培训及服务，推动企业上市进程。提高市属国有企业管理质量，提升经营效率和盈利能力，强化正向激励。</w:t>
      </w:r>
      <w:r>
        <w:rPr>
          <w:rFonts w:hint="eastAsia" w:ascii="楷体" w:eastAsia="楷体" w:cs="楷体"/>
          <w:sz w:val="32"/>
          <w:szCs w:val="32"/>
        </w:rPr>
        <w:t>（责任单位：</w:t>
      </w:r>
      <w:r>
        <w:rPr>
          <w:rFonts w:hint="eastAsia" w:ascii="楷体" w:eastAsia="楷体" w:cs="楷体"/>
          <w:sz w:val="32"/>
          <w:szCs w:val="32"/>
          <w:lang w:eastAsia="zh-CN"/>
        </w:rPr>
        <w:t>市发改委、</w:t>
      </w:r>
      <w:r>
        <w:rPr>
          <w:rFonts w:hint="eastAsia" w:ascii="楷体" w:eastAsia="楷体" w:cs="楷体"/>
          <w:sz w:val="32"/>
          <w:szCs w:val="32"/>
        </w:rPr>
        <w:t>市委金融办</w:t>
      </w:r>
      <w:r>
        <w:rPr>
          <w:rFonts w:ascii="楷体" w:eastAsia="楷体" w:cs="楷体"/>
          <w:sz w:val="32"/>
          <w:szCs w:val="32"/>
        </w:rPr>
        <w:t>、市国资委</w:t>
      </w:r>
      <w:r>
        <w:rPr>
          <w:rFonts w:hint="eastAsia" w:ascii="楷体" w:eastAsia="楷体" w:cs="楷体"/>
          <w:sz w:val="32"/>
          <w:szCs w:val="32"/>
        </w:rPr>
        <w:t>）</w:t>
      </w:r>
    </w:p>
    <w:p w14:paraId="43BCA3A2">
      <w:pPr>
        <w:spacing w:line="560" w:lineRule="exact"/>
        <w:ind w:firstLine="539"/>
        <w:rPr>
          <w:rFonts w:hint="eastAsia" w:ascii="楷体" w:eastAsia="楷体" w:cs="楷体"/>
          <w:b/>
          <w:sz w:val="32"/>
          <w:szCs w:val="32"/>
        </w:rPr>
      </w:pPr>
      <w:r>
        <w:rPr>
          <w:rFonts w:hint="eastAsia" w:ascii="楷体" w:eastAsia="楷体" w:cs="楷体"/>
          <w:b/>
          <w:sz w:val="32"/>
          <w:szCs w:val="32"/>
        </w:rPr>
        <w:t>（四）</w:t>
      </w:r>
      <w:r>
        <w:rPr>
          <w:rFonts w:ascii="楷体" w:eastAsia="楷体" w:cs="楷体"/>
          <w:b/>
          <w:sz w:val="32"/>
          <w:szCs w:val="32"/>
        </w:rPr>
        <w:t>增加农民收入。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发展农村集体经济，推动“册外地”发包收益以外其他收益的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50%于年末核算完成后向本集体经济组织成员分红。</w:t>
      </w:r>
      <w:r>
        <w:rPr>
          <w:rFonts w:ascii="仿宋_GB2312" w:eastAsia="仿宋_GB2312" w:cs="仿宋_GB2312"/>
          <w:sz w:val="32"/>
          <w:szCs w:val="32"/>
        </w:rPr>
        <w:t>实施扶持新型农业经营主体和服务主体提升发展三年攻坚行动，2025年带动小农户规模达到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ascii="仿宋_GB2312" w:eastAsia="仿宋_GB2312" w:cs="仿宋_GB2312"/>
          <w:sz w:val="32"/>
          <w:szCs w:val="32"/>
        </w:rPr>
        <w:t>万户以上。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采取</w:t>
      </w:r>
      <w:r>
        <w:rPr>
          <w:rFonts w:ascii="仿宋_GB2312" w:eastAsia="仿宋_GB2312" w:cs="仿宋_GB2312"/>
          <w:sz w:val="32"/>
          <w:szCs w:val="32"/>
        </w:rPr>
        <w:t>“庭院+”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等模式</w:t>
      </w:r>
      <w:r>
        <w:rPr>
          <w:rFonts w:asci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指导推进脱贫户发展庭院经济</w:t>
      </w:r>
      <w:r>
        <w:rPr>
          <w:rFonts w:ascii="仿宋_GB2312" w:eastAsia="仿宋_GB2312" w:cs="仿宋_GB2312"/>
          <w:sz w:val="32"/>
          <w:szCs w:val="32"/>
        </w:rPr>
        <w:t>。支持村集体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依规</w:t>
      </w:r>
      <w:r>
        <w:rPr>
          <w:rFonts w:ascii="仿宋_GB2312" w:eastAsia="仿宋_GB2312" w:cs="仿宋_GB2312"/>
          <w:sz w:val="32"/>
          <w:szCs w:val="32"/>
        </w:rPr>
        <w:t>利用农村闲置土地、房屋、厂房等资源，因地制宜发展产业，千方百计拓宽农民增收渠道。力争2025年全市农民收入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增速超过全省平均水平</w:t>
      </w:r>
      <w:r>
        <w:rPr>
          <w:rFonts w:ascii="仿宋_GB2312" w:eastAsia="仿宋_GB2312" w:cs="仿宋_GB2312"/>
          <w:sz w:val="32"/>
          <w:szCs w:val="32"/>
        </w:rPr>
        <w:t>。（</w:t>
      </w:r>
      <w:r>
        <w:rPr>
          <w:rFonts w:hint="eastAsia" w:ascii="楷体" w:eastAsia="楷体" w:cs="楷体"/>
          <w:sz w:val="32"/>
          <w:szCs w:val="32"/>
        </w:rPr>
        <w:t>责任单位：市</w:t>
      </w:r>
      <w:r>
        <w:rPr>
          <w:rFonts w:ascii="楷体" w:eastAsia="楷体" w:cs="楷体"/>
          <w:sz w:val="32"/>
          <w:szCs w:val="32"/>
        </w:rPr>
        <w:t>农业农村局</w:t>
      </w:r>
      <w:r>
        <w:rPr>
          <w:rFonts w:ascii="仿宋_GB2312" w:eastAsia="仿宋_GB2312" w:cs="仿宋_GB2312"/>
          <w:sz w:val="32"/>
          <w:szCs w:val="32"/>
        </w:rPr>
        <w:t>）</w:t>
      </w:r>
    </w:p>
    <w:p w14:paraId="320300F4">
      <w:pPr>
        <w:spacing w:line="560" w:lineRule="exact"/>
        <w:ind w:firstLine="640" w:firstLineChars="200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二、</w:t>
      </w:r>
      <w:r>
        <w:rPr>
          <w:rFonts w:ascii="黑体" w:eastAsia="黑体" w:cs="黑体"/>
          <w:sz w:val="32"/>
          <w:szCs w:val="32"/>
        </w:rPr>
        <w:t>城乡居民减负行动</w:t>
      </w:r>
    </w:p>
    <w:p w14:paraId="51DBF894">
      <w:pPr>
        <w:spacing w:line="560" w:lineRule="exact"/>
        <w:ind w:firstLine="539"/>
        <w:rPr>
          <w:rFonts w:ascii="楷体" w:eastAsia="楷体" w:cs="楷体"/>
          <w:sz w:val="32"/>
          <w:szCs w:val="32"/>
        </w:rPr>
      </w:pPr>
      <w:r>
        <w:rPr>
          <w:rFonts w:hint="eastAsia" w:ascii="楷体" w:eastAsia="楷体" w:cs="楷体"/>
          <w:b/>
          <w:sz w:val="32"/>
          <w:szCs w:val="32"/>
        </w:rPr>
        <w:t>（五）</w:t>
      </w:r>
      <w:r>
        <w:rPr>
          <w:rFonts w:ascii="楷体" w:eastAsia="楷体" w:cs="楷体"/>
          <w:b/>
          <w:sz w:val="32"/>
          <w:szCs w:val="32"/>
        </w:rPr>
        <w:t>加大</w:t>
      </w:r>
      <w:r>
        <w:rPr>
          <w:rFonts w:hint="eastAsia" w:ascii="楷体" w:eastAsia="楷体" w:cs="楷体"/>
          <w:b/>
          <w:sz w:val="32"/>
          <w:szCs w:val="32"/>
        </w:rPr>
        <w:t>生育</w:t>
      </w:r>
      <w:r>
        <w:rPr>
          <w:rFonts w:ascii="楷体" w:eastAsia="楷体" w:cs="楷体"/>
          <w:b/>
          <w:sz w:val="32"/>
          <w:szCs w:val="32"/>
        </w:rPr>
        <w:t>保障力度</w:t>
      </w:r>
      <w:r>
        <w:rPr>
          <w:rFonts w:hint="eastAsia" w:ascii="楷体" w:eastAsia="楷体" w:cs="楷体"/>
          <w:b/>
          <w:sz w:val="32"/>
          <w:szCs w:val="32"/>
        </w:rPr>
        <w:t>。</w:t>
      </w:r>
      <w:r>
        <w:rPr>
          <w:rFonts w:hint="eastAsia" w:ascii="仿宋" w:eastAsia="仿宋" w:cs="仿宋"/>
          <w:bCs w:val="0"/>
          <w:sz w:val="32"/>
          <w:szCs w:val="32"/>
        </w:rPr>
        <w:t>落实国家育儿补贴</w:t>
      </w:r>
      <w:r>
        <w:rPr>
          <w:rFonts w:ascii="仿宋" w:eastAsia="仿宋" w:cs="仿宋"/>
          <w:bCs w:val="0"/>
          <w:sz w:val="32"/>
          <w:szCs w:val="32"/>
        </w:rPr>
        <w:t>和</w:t>
      </w:r>
      <w:r>
        <w:rPr>
          <w:rFonts w:hint="eastAsia" w:ascii="仿宋" w:eastAsia="仿宋" w:cs="仿宋"/>
          <w:bCs w:val="0"/>
          <w:sz w:val="32"/>
          <w:szCs w:val="32"/>
        </w:rPr>
        <w:t>全省二孩、三孩生育奖励</w:t>
      </w:r>
      <w:r>
        <w:rPr>
          <w:rFonts w:ascii="仿宋" w:eastAsia="仿宋" w:cs="仿宋"/>
          <w:bCs w:val="0"/>
          <w:sz w:val="32"/>
          <w:szCs w:val="32"/>
        </w:rPr>
        <w:t>。支持普惠托育服务发展，</w:t>
      </w:r>
      <w:r>
        <w:rPr>
          <w:rFonts w:ascii="仿宋" w:eastAsia="仿宋" w:cs="仿宋"/>
          <w:sz w:val="32"/>
          <w:szCs w:val="32"/>
        </w:rPr>
        <w:t>对差额补助公办托育服务机构，</w:t>
      </w:r>
      <w:r>
        <w:rPr>
          <w:rFonts w:hint="eastAsia" w:ascii="仿宋" w:eastAsia="仿宋" w:cs="仿宋"/>
          <w:sz w:val="32"/>
          <w:szCs w:val="32"/>
          <w:lang w:eastAsia="zh-CN"/>
        </w:rPr>
        <w:t>长春市</w:t>
      </w:r>
      <w:r>
        <w:rPr>
          <w:rFonts w:ascii="仿宋" w:eastAsia="仿宋" w:cs="仿宋"/>
          <w:sz w:val="32"/>
          <w:szCs w:val="32"/>
        </w:rPr>
        <w:t>城区按2400元/年/孩补助，其他地区按1800元/年/孩补助；对自收自支类公办、普惠民办托育服务机构，长春市城区按3600元/年/孩补助，其他地区按2400元/年/孩补助。发展社区嵌入式托育，打造市区两级托育综合服务中心，2025年完成20个家庭托育试点。落实儿科服务年行动，在儿童季节性疾病高发期，组织有条件的公立综合医院，通过延长儿科门诊时间、加派儿科出诊医生等手段，保障儿童患者就诊需求。</w:t>
      </w:r>
      <w:r>
        <w:rPr>
          <w:rFonts w:hint="eastAsia" w:ascii="楷体" w:eastAsia="楷体" w:cs="楷体"/>
          <w:sz w:val="32"/>
          <w:szCs w:val="32"/>
        </w:rPr>
        <w:t>（责任单位：市卫健委）</w:t>
      </w:r>
    </w:p>
    <w:p w14:paraId="1AC69FEB">
      <w:pPr>
        <w:spacing w:line="560" w:lineRule="exact"/>
        <w:ind w:firstLine="539"/>
        <w:rPr>
          <w:sz w:val="32"/>
          <w:szCs w:val="32"/>
        </w:rPr>
      </w:pPr>
      <w:r>
        <w:rPr>
          <w:rFonts w:hint="eastAsia" w:ascii="楷体" w:eastAsia="楷体" w:cs="楷体"/>
          <w:b/>
          <w:sz w:val="32"/>
          <w:szCs w:val="32"/>
        </w:rPr>
        <w:t>（</w:t>
      </w:r>
      <w:r>
        <w:rPr>
          <w:rFonts w:ascii="楷体" w:eastAsia="楷体" w:cs="楷体"/>
          <w:b/>
          <w:sz w:val="32"/>
          <w:szCs w:val="32"/>
        </w:rPr>
        <w:t>六</w:t>
      </w:r>
      <w:r>
        <w:rPr>
          <w:rFonts w:hint="eastAsia" w:ascii="楷体" w:eastAsia="楷体" w:cs="楷体"/>
          <w:b/>
          <w:sz w:val="32"/>
          <w:szCs w:val="32"/>
        </w:rPr>
        <w:t>）</w:t>
      </w:r>
      <w:r>
        <w:rPr>
          <w:rFonts w:ascii="楷体" w:eastAsia="楷体" w:cs="楷体"/>
          <w:b/>
          <w:sz w:val="32"/>
          <w:szCs w:val="32"/>
        </w:rPr>
        <w:t>健全</w:t>
      </w:r>
      <w:r>
        <w:rPr>
          <w:rFonts w:hint="eastAsia" w:ascii="楷体" w:eastAsia="楷体" w:cs="楷体"/>
          <w:b/>
          <w:sz w:val="32"/>
          <w:szCs w:val="32"/>
        </w:rPr>
        <w:t>医疗保障</w:t>
      </w:r>
      <w:r>
        <w:rPr>
          <w:rFonts w:ascii="楷体" w:eastAsia="楷体" w:cs="楷体"/>
          <w:b/>
          <w:sz w:val="32"/>
          <w:szCs w:val="32"/>
        </w:rPr>
        <w:t>体系</w:t>
      </w:r>
      <w:r>
        <w:rPr>
          <w:rFonts w:hint="eastAsia" w:ascii="楷体" w:eastAsia="楷体" w:cs="楷体"/>
          <w:b/>
          <w:sz w:val="32"/>
          <w:szCs w:val="32"/>
        </w:rPr>
        <w:t>。</w:t>
      </w:r>
      <w:r>
        <w:rPr>
          <w:rFonts w:hint="eastAsia" w:ascii="仿宋" w:eastAsia="仿宋" w:cs="仿宋"/>
          <w:bCs w:val="0"/>
          <w:sz w:val="32"/>
          <w:szCs w:val="32"/>
        </w:rPr>
        <w:t>落实</w:t>
      </w:r>
      <w:r>
        <w:rPr>
          <w:rFonts w:hint="eastAsia" w:ascii="仿宋" w:eastAsia="仿宋" w:cs="仿宋"/>
          <w:sz w:val="32"/>
          <w:szCs w:val="32"/>
        </w:rPr>
        <w:t>城乡居民参保登记、参保信息变更、异地就医备案等高频医保政务服务事项全省通办。</w:t>
      </w:r>
      <w:r>
        <w:rPr>
          <w:rFonts w:ascii="仿宋" w:eastAsia="仿宋" w:cs="仿宋"/>
          <w:sz w:val="32"/>
          <w:szCs w:val="32"/>
        </w:rPr>
        <w:t>对参加生育保险的职工，生育二孩、三孩的最高支付限额在一孩基础上提高10%。</w:t>
      </w:r>
      <w:r>
        <w:rPr>
          <w:rFonts w:hint="eastAsia" w:ascii="仿宋_GB2312" w:eastAsia="仿宋_GB2312" w:cs="仿宋_GB2312"/>
          <w:sz w:val="32"/>
          <w:szCs w:val="32"/>
        </w:rPr>
        <w:t>落实国家儿童用药医保报销相关政策，扩大儿童用药医保支付范围。生育津贴发放渠道扩大至个人，实现生育津贴免申即享。推动长期护理保险扩大覆盖面。</w:t>
      </w:r>
      <w:r>
        <w:rPr>
          <w:rFonts w:ascii="仿宋_GB2312" w:eastAsia="仿宋_GB2312" w:cs="仿宋_GB2312"/>
          <w:sz w:val="32"/>
          <w:szCs w:val="32"/>
        </w:rPr>
        <w:t>将参加职工医保的灵活就业人员、农民工、新就业形态人员等五类人员纳入生育保险覆盖范围。</w:t>
      </w:r>
      <w:r>
        <w:rPr>
          <w:rFonts w:hint="eastAsia" w:ascii="仿宋" w:eastAsia="仿宋" w:cs="仿宋"/>
          <w:sz w:val="32"/>
          <w:szCs w:val="32"/>
        </w:rPr>
        <w:t>鼓励县级以上工会联合职工互助保险机构、商业保险机构创新保障产品，面向相对困难的已入会新就业形态职工，按25元/人的标准赠送“新就业形态劳动者专项意外伤害”互助保障项目。</w:t>
      </w:r>
      <w:r>
        <w:rPr>
          <w:rFonts w:hint="eastAsia" w:ascii="楷体" w:eastAsia="楷体" w:cs="楷体"/>
          <w:sz w:val="32"/>
          <w:szCs w:val="32"/>
        </w:rPr>
        <w:t>（责任单位：市医保局</w:t>
      </w:r>
      <w:r>
        <w:rPr>
          <w:rFonts w:ascii="楷体" w:eastAsia="楷体" w:cs="楷体"/>
          <w:sz w:val="32"/>
          <w:szCs w:val="32"/>
        </w:rPr>
        <w:t>、市总工会</w:t>
      </w:r>
      <w:r>
        <w:rPr>
          <w:rFonts w:hint="eastAsia" w:ascii="楷体" w:eastAsia="楷体" w:cs="楷体"/>
          <w:sz w:val="32"/>
          <w:szCs w:val="32"/>
        </w:rPr>
        <w:t>）</w:t>
      </w:r>
    </w:p>
    <w:p w14:paraId="4EF948B0">
      <w:pPr>
        <w:spacing w:line="560" w:lineRule="exact"/>
        <w:ind w:left="0" w:firstLine="539"/>
        <w:rPr>
          <w:rFonts w:hint="eastAsia" w:ascii="仿宋_GB2312" w:eastAsia="仿宋_GB2312" w:cs="仿宋_GB2312"/>
          <w:sz w:val="32"/>
          <w:szCs w:val="32"/>
          <w:highlight w:val="yellow"/>
        </w:rPr>
      </w:pPr>
      <w:r>
        <w:rPr>
          <w:rFonts w:hint="eastAsia" w:ascii="楷体" w:eastAsia="楷体" w:cs="楷体"/>
          <w:b/>
          <w:sz w:val="32"/>
          <w:szCs w:val="32"/>
        </w:rPr>
        <w:t>（</w:t>
      </w:r>
      <w:r>
        <w:rPr>
          <w:rFonts w:ascii="楷体" w:eastAsia="楷体" w:cs="楷体"/>
          <w:b/>
          <w:sz w:val="32"/>
          <w:szCs w:val="32"/>
        </w:rPr>
        <w:t>七</w:t>
      </w:r>
      <w:r>
        <w:rPr>
          <w:rFonts w:hint="eastAsia" w:ascii="楷体" w:eastAsia="楷体" w:cs="楷体"/>
          <w:b/>
          <w:sz w:val="32"/>
          <w:szCs w:val="32"/>
        </w:rPr>
        <w:t>）优化教育</w:t>
      </w:r>
      <w:r>
        <w:rPr>
          <w:rFonts w:ascii="楷体" w:eastAsia="楷体" w:cs="楷体"/>
          <w:b/>
          <w:sz w:val="32"/>
          <w:szCs w:val="32"/>
        </w:rPr>
        <w:t>保障支撑</w:t>
      </w:r>
      <w:r>
        <w:rPr>
          <w:rFonts w:hint="eastAsia" w:ascii="楷体" w:eastAsia="楷体" w:cs="楷体"/>
          <w:b/>
          <w:sz w:val="32"/>
          <w:szCs w:val="32"/>
        </w:rPr>
        <w:t>。</w:t>
      </w:r>
      <w:r>
        <w:rPr>
          <w:rFonts w:ascii="仿宋_GB2312" w:eastAsia="仿宋_GB2312" w:cs="仿宋_GB2312"/>
          <w:sz w:val="32"/>
          <w:szCs w:val="32"/>
        </w:rPr>
        <w:t>加快补充优质义务教育学位供给，2025年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加快</w:t>
      </w:r>
      <w:r>
        <w:rPr>
          <w:rFonts w:ascii="仿宋_GB2312" w:eastAsia="仿宋_GB2312" w:cs="仿宋_GB2312"/>
          <w:sz w:val="32"/>
          <w:szCs w:val="32"/>
        </w:rPr>
        <w:t>3所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义务教育</w:t>
      </w:r>
      <w:r>
        <w:rPr>
          <w:rFonts w:ascii="仿宋_GB2312" w:eastAsia="仿宋_GB2312" w:cs="仿宋_GB2312"/>
          <w:sz w:val="32"/>
          <w:szCs w:val="32"/>
        </w:rPr>
        <w:t>学校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建设</w:t>
      </w:r>
      <w:r>
        <w:rPr>
          <w:rFonts w:ascii="仿宋_GB2312" w:eastAsia="仿宋_GB2312" w:cs="仿宋_GB2312"/>
          <w:sz w:val="32"/>
          <w:szCs w:val="32"/>
        </w:rPr>
        <w:t>，增加学位6000个。继续增加高中学位供给，2025年力争扩容普通高中学位900个。健全学生资助制度，提高部分学生资助补助标准，扩大政策覆盖面。完善职业教育专业动态调整机制，推动专业布局与产业结构紧密对接，提高专业与岗位需求匹配度。</w:t>
      </w:r>
      <w:r>
        <w:rPr>
          <w:rFonts w:hint="eastAsia" w:ascii="楷体" w:eastAsia="楷体" w:cs="楷体"/>
          <w:sz w:val="32"/>
          <w:szCs w:val="32"/>
        </w:rPr>
        <w:t>（责任单位：市教育局）</w:t>
      </w:r>
    </w:p>
    <w:p w14:paraId="73ACA320">
      <w:pPr>
        <w:spacing w:line="560" w:lineRule="exact"/>
        <w:ind w:firstLine="643" w:firstLineChars="200"/>
        <w:rPr>
          <w:rFonts w:hint="eastAsia" w:ascii="仿宋" w:eastAsia="仿宋" w:cs="仿宋"/>
          <w:bCs w:val="0"/>
          <w:sz w:val="32"/>
          <w:szCs w:val="32"/>
        </w:rPr>
      </w:pPr>
      <w:r>
        <w:rPr>
          <w:rFonts w:hint="eastAsia" w:ascii="楷体" w:eastAsia="楷体" w:cs="楷体"/>
          <w:b/>
          <w:sz w:val="32"/>
          <w:szCs w:val="32"/>
        </w:rPr>
        <w:t>（八）强化重点群体帮扶。</w:t>
      </w:r>
      <w:r>
        <w:rPr>
          <w:rFonts w:hint="eastAsia" w:ascii="仿宋" w:eastAsia="仿宋" w:cs="仿宋"/>
          <w:bCs w:val="0"/>
          <w:sz w:val="32"/>
          <w:szCs w:val="32"/>
        </w:rPr>
        <w:t>保障符合条件的失业人员在失业期间领取失业保险金，并由失业保险基金为其代缴基本医疗保险费（含生育保险）。</w:t>
      </w:r>
      <w:r>
        <w:rPr>
          <w:rFonts w:hint="eastAsia" w:ascii="仿宋" w:eastAsia="仿宋" w:cs="仿宋"/>
          <w:bCs w:val="0"/>
          <w:sz w:val="32"/>
          <w:szCs w:val="32"/>
          <w:lang w:eastAsia="zh-CN"/>
        </w:rPr>
        <w:t>落实社会救助和保障标准与物价上涨挂钩联动机制</w:t>
      </w:r>
      <w:r>
        <w:rPr>
          <w:rFonts w:hint="eastAsia" w:ascii="仿宋" w:eastAsia="仿宋" w:cs="仿宋"/>
          <w:bCs w:val="0"/>
          <w:sz w:val="32"/>
          <w:szCs w:val="32"/>
        </w:rPr>
        <w:t>。</w:t>
      </w:r>
      <w:r>
        <w:rPr>
          <w:rFonts w:ascii="仿宋" w:eastAsia="仿宋" w:cs="仿宋"/>
          <w:bCs w:val="0"/>
          <w:sz w:val="32"/>
          <w:szCs w:val="32"/>
        </w:rPr>
        <w:t>特困人员救助供养覆盖的未成年人年龄从16周岁延长至18周岁。</w:t>
      </w:r>
      <w:r>
        <w:rPr>
          <w:rFonts w:hint="eastAsia" w:ascii="仿宋" w:eastAsia="仿宋" w:cs="仿宋"/>
          <w:bCs w:val="0"/>
          <w:sz w:val="32"/>
          <w:szCs w:val="32"/>
        </w:rPr>
        <w:t>年满18周岁仍在义务教育、普通高中、中等职业学校就读的，可继续享有救助供养待遇。按照不低于上年度最低生活保障标准的1.3倍提高特困人员基本生活标准</w:t>
      </w:r>
      <w:r>
        <w:rPr>
          <w:rFonts w:ascii="仿宋" w:eastAsia="仿宋" w:cs="仿宋"/>
          <w:bCs w:val="0"/>
          <w:sz w:val="32"/>
          <w:szCs w:val="32"/>
        </w:rPr>
        <w:t>。2025年为500户困难老年人家庭实施适老化改造。</w:t>
      </w:r>
      <w:r>
        <w:rPr>
          <w:rFonts w:hint="eastAsia" w:ascii="楷体" w:eastAsia="楷体" w:cs="楷体"/>
          <w:sz w:val="32"/>
          <w:szCs w:val="32"/>
        </w:rPr>
        <w:t>（责任单位：市</w:t>
      </w:r>
      <w:r>
        <w:rPr>
          <w:rFonts w:ascii="楷体" w:eastAsia="楷体" w:cs="楷体"/>
          <w:sz w:val="32"/>
          <w:szCs w:val="32"/>
        </w:rPr>
        <w:t>民政局、</w:t>
      </w:r>
      <w:r>
        <w:rPr>
          <w:rFonts w:hint="eastAsia" w:ascii="楷体" w:eastAsia="楷体" w:cs="楷体"/>
          <w:sz w:val="32"/>
          <w:szCs w:val="32"/>
          <w:lang w:eastAsia="zh-CN"/>
        </w:rPr>
        <w:t>市发改委、</w:t>
      </w:r>
      <w:r>
        <w:rPr>
          <w:rFonts w:ascii="楷体" w:eastAsia="楷体" w:cs="楷体"/>
          <w:sz w:val="32"/>
          <w:szCs w:val="32"/>
        </w:rPr>
        <w:t>市社保局、市医保局</w:t>
      </w:r>
      <w:r>
        <w:rPr>
          <w:rFonts w:hint="eastAsia" w:ascii="楷体" w:eastAsia="楷体" w:cs="楷体"/>
          <w:sz w:val="32"/>
          <w:szCs w:val="32"/>
        </w:rPr>
        <w:t>）</w:t>
      </w:r>
    </w:p>
    <w:p w14:paraId="351491DE">
      <w:pPr>
        <w:spacing w:line="560" w:lineRule="exact"/>
        <w:ind w:firstLine="640" w:firstLineChars="200"/>
        <w:rPr>
          <w:rFonts w:hint="eastAsia" w:ascii="黑体" w:hAnsi="仿宋_GB2312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eastAsia="黑体" w:cs="黑体"/>
          <w:sz w:val="32"/>
          <w:szCs w:val="32"/>
        </w:rPr>
        <w:t>三、服务消费惠民行动</w:t>
      </w:r>
    </w:p>
    <w:p w14:paraId="0005338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楷体" w:hAnsi="仿宋_GB2312" w:eastAsia="楷体" w:cs="楷体"/>
          <w:b/>
          <w:bCs/>
          <w:sz w:val="32"/>
          <w:szCs w:val="32"/>
          <w:lang w:val="en-US" w:eastAsia="zh-CN"/>
        </w:rPr>
        <w:t>（</w:t>
      </w:r>
      <w:r>
        <w:rPr>
          <w:rFonts w:ascii="楷体" w:hAnsi="仿宋_GB2312" w:eastAsia="楷体" w:cs="楷体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楷体" w:hAnsi="仿宋_GB2312" w:eastAsia="楷体" w:cs="楷体"/>
          <w:b/>
          <w:bCs/>
          <w:sz w:val="32"/>
          <w:szCs w:val="32"/>
          <w:lang w:val="en-US" w:eastAsia="zh-CN"/>
        </w:rPr>
        <w:t>）</w:t>
      </w:r>
      <w:r>
        <w:rPr>
          <w:rFonts w:hint="eastAsia" w:ascii="楷体" w:hAnsi="仿宋_GB2312" w:eastAsia="楷体" w:cs="楷体"/>
          <w:b/>
          <w:bCs/>
          <w:sz w:val="32"/>
          <w:szCs w:val="32"/>
        </w:rPr>
        <w:t>打造文娱消费优势。</w:t>
      </w:r>
      <w:r>
        <w:rPr>
          <w:rFonts w:hint="eastAsia" w:ascii="仿宋" w:eastAsia="仿宋" w:cs="仿宋"/>
          <w:bCs w:val="0"/>
          <w:sz w:val="32"/>
          <w:szCs w:val="32"/>
        </w:rPr>
        <w:t>加强历史文化遗产保护传承，精心打造红色景点、研学游体验产品、近现代历史展陈。支持文博单位拓展服务项目，推进业态融合，创新多元化消费场景。</w:t>
      </w:r>
      <w:r>
        <w:rPr>
          <w:rFonts w:ascii="仿宋" w:eastAsia="仿宋" w:cs="仿宋"/>
          <w:sz w:val="32"/>
          <w:szCs w:val="32"/>
        </w:rPr>
        <w:t>常态化举办</w:t>
      </w:r>
      <w:r>
        <w:rPr>
          <w:rFonts w:hint="eastAsia" w:ascii="仿宋" w:eastAsia="仿宋" w:cs="仿宋"/>
          <w:sz w:val="32"/>
          <w:szCs w:val="32"/>
          <w:lang w:eastAsia="zh-CN"/>
        </w:rPr>
        <w:t>话剧、评剧、杂技、交响乐</w:t>
      </w:r>
      <w:r>
        <w:rPr>
          <w:rFonts w:ascii="仿宋" w:eastAsia="仿宋" w:cs="仿宋"/>
          <w:sz w:val="32"/>
          <w:szCs w:val="32"/>
        </w:rPr>
        <w:t>等演出活动，打造一批具有地域特色的演出品牌。推动发展主题沉浸式室内演出等新型文艺形态。持续优化营业性演出和各类大型群众性活动审批流程，安全可控提高可售（发）票数量，严格落实巡演项目首演地内容审核负责制，推行“一次审批、全国巡演”。加大大型音乐节、演唱会等文娱活动奖补力度，对非专业演出场馆举办单场售票3000人至1万人的营业性演出活动，按演出举办单位单场售票收入的3%给予奖励，单场售票1万人以上的营业性演出活动，按演出举办单位单场售票收入的4%给予奖励</w:t>
      </w:r>
      <w:r>
        <w:rPr>
          <w:rFonts w:hint="eastAsia" w:ascii="仿宋" w:eastAsia="仿宋" w:cs="仿宋"/>
          <w:sz w:val="32"/>
          <w:szCs w:val="32"/>
          <w:lang w:eastAsia="zh-CN"/>
        </w:rPr>
        <w:t>，通过省级资金给予支持</w:t>
      </w:r>
      <w:r>
        <w:rPr>
          <w:rFonts w:ascii="仿宋" w:eastAsia="仿宋" w:cs="仿宋"/>
          <w:sz w:val="32"/>
          <w:szCs w:val="32"/>
          <w:highlight w:val="none"/>
        </w:rPr>
        <w:t>。</w:t>
      </w:r>
      <w:r>
        <w:rPr>
          <w:rFonts w:ascii="仿宋_GB2312" w:hAnsi="仿宋_GB2312" w:eastAsia="仿宋_GB2312" w:cs="仿宋_GB2312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举办</w:t>
      </w:r>
      <w:r>
        <w:rPr>
          <w:rFonts w:hint="eastAsia" w:ascii="仿宋_GB2312" w:hAnsi="仿宋_GB2312" w:eastAsia="仿宋_GB2312" w:cs="仿宋_GB2312"/>
          <w:sz w:val="32"/>
          <w:szCs w:val="32"/>
        </w:rPr>
        <w:t>各类群众</w:t>
      </w:r>
      <w:r>
        <w:rPr>
          <w:rFonts w:ascii="仿宋_GB2312" w:hAnsi="仿宋_GB2312" w:eastAsia="仿宋_GB2312" w:cs="仿宋_GB2312"/>
          <w:sz w:val="32"/>
          <w:szCs w:val="32"/>
        </w:rPr>
        <w:t>文娱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活动4000场</w:t>
      </w:r>
      <w:r>
        <w:rPr>
          <w:rFonts w:ascii="仿宋_GB2312" w:hAnsi="仿宋_GB2312" w:eastAsia="仿宋_GB2312" w:cs="仿宋_GB2312"/>
          <w:sz w:val="32"/>
          <w:szCs w:val="32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楷体" w:hAnsi="仿宋_GB2312" w:eastAsia="楷体" w:cs="楷体"/>
          <w:sz w:val="32"/>
          <w:szCs w:val="32"/>
          <w:highlight w:val="none"/>
        </w:rPr>
        <w:t>（责任单位：市文广旅局</w:t>
      </w:r>
      <w:r>
        <w:rPr>
          <w:rFonts w:ascii="楷体" w:hAnsi="仿宋_GB2312" w:eastAsia="楷体" w:cs="楷体"/>
          <w:sz w:val="32"/>
          <w:szCs w:val="32"/>
          <w:highlight w:val="none"/>
        </w:rPr>
        <w:t>、市公安局</w:t>
      </w:r>
      <w:r>
        <w:rPr>
          <w:rFonts w:hint="eastAsia" w:ascii="楷体" w:hAnsi="仿宋_GB2312" w:eastAsia="楷体" w:cs="楷体"/>
          <w:sz w:val="32"/>
          <w:szCs w:val="32"/>
          <w:highlight w:val="none"/>
        </w:rPr>
        <w:t>）</w:t>
      </w:r>
    </w:p>
    <w:p w14:paraId="59C60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spacing w:line="560" w:lineRule="exact"/>
        <w:ind w:firstLine="643" w:firstLineChars="200"/>
        <w:rPr>
          <w:rFonts w:hint="eastAsia" w:ascii="仿宋" w:hAnsi="楷体" w:eastAsia="仿宋" w:cs="仿宋"/>
          <w:b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）培育旅游消费</w:t>
      </w:r>
      <w:r>
        <w:rPr>
          <w:rFonts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热点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深耕城市文旅品牌建设，优化文化产品和服务供给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以消夏艺术季、长春冰雪节为双品牌统揽，办好各大品牌活动。</w:t>
      </w:r>
      <w:r>
        <w:rPr>
          <w:rFonts w:ascii="仿宋_GB2312" w:eastAsia="仿宋_GB2312" w:cs="仿宋_GB2312"/>
          <w:sz w:val="32"/>
          <w:szCs w:val="32"/>
        </w:rPr>
        <w:t>支持非遗、演艺进景区，丰富“博物馆+”模式，鼓励景区、景点根据游客需求延长开放时间。强化乡村旅游联城带村功能，设计推出亲近自然、民族风情、文化体验、特色美食等品质优、特色强、集成度高的“两天一宿”“三天两宿”城市周边微度假、乡村游精品线路和产品。</w:t>
      </w:r>
      <w:r>
        <w:rPr>
          <w:rFonts w:ascii="仿宋_GB2312" w:hAnsi="仿宋_GB2312" w:eastAsia="仿宋_GB2312" w:cs="仿宋_GB2312"/>
          <w:sz w:val="32"/>
          <w:szCs w:val="32"/>
        </w:rPr>
        <w:t>开发亲子游、研学游、康养游等旅游产品，满足不同年龄群体消费需求。</w:t>
      </w:r>
      <w:r>
        <w:rPr>
          <w:rFonts w:ascii="仿宋_GB2312" w:eastAsia="仿宋_GB2312" w:cs="仿宋_GB2312"/>
          <w:sz w:val="32"/>
          <w:szCs w:val="32"/>
        </w:rPr>
        <w:t>在“你好！中国”框架下，深耕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日韩及东南亚</w:t>
      </w:r>
      <w:r>
        <w:rPr>
          <w:rFonts w:ascii="仿宋_GB2312" w:eastAsia="仿宋_GB2312" w:cs="仿宋_GB2312"/>
          <w:sz w:val="32"/>
          <w:szCs w:val="32"/>
        </w:rPr>
        <w:t>入境旅游市场。在旅游淡季，A级以上景区对游客开展免首道门票或打折优惠活动，幅度在5折（含）以上的，给予门票价格的10%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ascii="仿宋_GB2312" w:eastAsia="仿宋_GB2312" w:cs="仿宋_GB2312"/>
          <w:sz w:val="32"/>
          <w:szCs w:val="32"/>
        </w:rPr>
        <w:t>50%补贴。</w:t>
      </w:r>
      <w:r>
        <w:rPr>
          <w:rFonts w:hint="eastAsia" w:ascii="楷体" w:hAnsi="仿宋_GB2312" w:eastAsia="楷体" w:cs="楷体"/>
          <w:sz w:val="32"/>
          <w:szCs w:val="32"/>
          <w:highlight w:val="none"/>
        </w:rPr>
        <w:t>（责任单位：市文广旅局）</w:t>
      </w:r>
    </w:p>
    <w:p w14:paraId="367A3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spacing w:line="560" w:lineRule="exact"/>
        <w:ind w:firstLine="643" w:firstLineChars="200"/>
        <w:rPr>
          <w:rFonts w:ascii="楷体" w:hAnsi="仿宋_GB2312" w:eastAsia="楷体" w:cs="楷体"/>
          <w:color w:val="auto"/>
          <w:sz w:val="32"/>
          <w:szCs w:val="32"/>
          <w:highlight w:val="none"/>
          <w:u w:val="none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（十</w:t>
      </w:r>
      <w:r>
        <w:rPr>
          <w:rFonts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）壮大体育消费</w:t>
      </w:r>
      <w:r>
        <w:rPr>
          <w:rFonts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能级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ascii="仿宋_GB2312" w:eastAsia="仿宋_GB2312" w:cs="仿宋_GB2312"/>
          <w:sz w:val="32"/>
          <w:szCs w:val="32"/>
        </w:rPr>
        <w:t>发展观赛旅游，促进“跟着赛事去旅行”“体育赛事进景区、进街区、进商圈”。推动消费场景进赛场，在场馆内及赛场周边设置群众体验体育项目、体育彩票销售、餐饮服务、体育用品销售等内容。大力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引进体育器械、体育用品经销商。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持续做强赛事经济，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2025年举办国际级体育赛事5场以上、国家级体育赛事10场以上、省市级体育赛事50场以上。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持续巩固城区“10分钟体育健身圈”，全年举办各级各类全民健身活动1000项以上。</w:t>
      </w:r>
      <w:r>
        <w:rPr>
          <w:rFonts w:hint="eastAsia" w:ascii="楷体" w:hAnsi="仿宋_GB2312" w:eastAsia="楷体" w:cs="楷体"/>
          <w:color w:val="auto"/>
          <w:sz w:val="32"/>
          <w:szCs w:val="32"/>
          <w:highlight w:val="none"/>
          <w:u w:val="none"/>
        </w:rPr>
        <w:t>（责任单位：市体育局）</w:t>
      </w:r>
    </w:p>
    <w:p w14:paraId="38ECA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spacing w:line="560" w:lineRule="exact"/>
        <w:ind w:firstLine="643" w:firstLineChars="200"/>
        <w:rPr>
          <w:rFonts w:ascii="楷体" w:hAnsi="仿宋_GB2312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（十</w:t>
      </w:r>
      <w:r>
        <w:rPr>
          <w:rFonts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）激发冰雪消费活力。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推动“冰雪+体育+旅游+商贸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文化”深度融合，发放冰雪消费券，支持重点冰雪企业降低门票价格。实施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城市冬季冰雪景观、灯饰亮化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工程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举办“瓦萨国际滑雪节”“冰雪汽车嘉年华”等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冰雪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赛事。</w:t>
      </w:r>
      <w:r>
        <w:rPr>
          <w:rFonts w:hint="eastAsia" w:ascii="仿宋" w:eastAsia="仿宋" w:cs="仿宋"/>
          <w:bCs w:val="0"/>
          <w:sz w:val="32"/>
          <w:szCs w:val="32"/>
        </w:rPr>
        <w:t>在重点滑雪度假区开展“滑雪场的夏天”系列活动，推动重点滑雪度假区农文旅一体化发展，提升四季运营能力。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冰雪季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期间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，开展“冰雪消费季”“长春年货节”“新春消费节”等主题促消费活动，冰雪季期间，组织开展商业促销活动不少于200场。</w:t>
      </w:r>
      <w:r>
        <w:rPr>
          <w:rFonts w:hint="eastAsia" w:ascii="楷体" w:hAnsi="仿宋_GB2312" w:eastAsia="楷体" w:cs="楷体"/>
          <w:sz w:val="32"/>
          <w:szCs w:val="32"/>
          <w:highlight w:val="none"/>
        </w:rPr>
        <w:t>（责任单位：市文广旅局、</w:t>
      </w:r>
      <w:r>
        <w:rPr>
          <w:rFonts w:ascii="楷体" w:hAnsi="仿宋_GB2312" w:eastAsia="楷体" w:cs="楷体"/>
          <w:sz w:val="32"/>
          <w:szCs w:val="32"/>
        </w:rPr>
        <w:t>市建委、</w:t>
      </w:r>
      <w:r>
        <w:rPr>
          <w:rFonts w:hint="eastAsia" w:ascii="楷体" w:hAnsi="仿宋_GB2312" w:eastAsia="楷体" w:cs="楷体"/>
          <w:sz w:val="32"/>
          <w:szCs w:val="32"/>
          <w:highlight w:val="none"/>
        </w:rPr>
        <w:t>市商务局、市体育局）</w:t>
      </w:r>
    </w:p>
    <w:p w14:paraId="2B7AB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spacing w:line="560" w:lineRule="exact"/>
        <w:ind w:firstLine="643" w:firstLineChars="200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（十</w:t>
      </w:r>
      <w:r>
        <w:rPr>
          <w:rFonts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丰富生活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消费</w:t>
      </w:r>
      <w:r>
        <w:rPr>
          <w:rFonts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场景。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推出“来吉地长春 品吉菜美食”系列活动，培育名菜、名店、名厨，打造地标、美食名片，推广雪衣豆沙、锅包肉等“吉菜”，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深入挖掘人参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、鹿茸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等农特产品食用价值，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创新吉菜技艺、传播餐饮文化。持续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发布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长春市旅游美食地图，提供一站式服务指引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ascii="仿宋_GB2312" w:eastAsia="仿宋_GB2312" w:cs="仿宋_GB2312"/>
          <w:sz w:val="32"/>
          <w:szCs w:val="32"/>
          <w:highlight w:val="none"/>
        </w:rPr>
        <w:t>利用公园、广场等休闲场所，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支持营造便民消费场景，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2025年</w:t>
      </w:r>
      <w:r>
        <w:rPr>
          <w:rFonts w:ascii="仿宋_GB2312" w:eastAsia="仿宋_GB2312" w:cs="仿宋_GB2312"/>
          <w:sz w:val="32"/>
          <w:szCs w:val="32"/>
          <w:highlight w:val="none"/>
        </w:rPr>
        <w:t>设置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惠民市集点位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ascii="仿宋_GB2312" w:eastAsia="仿宋_GB2312" w:cs="仿宋_GB2312"/>
          <w:sz w:val="32"/>
          <w:szCs w:val="32"/>
          <w:highlight w:val="none"/>
        </w:rPr>
        <w:t>00个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，适时开展便民消费配套服务</w:t>
      </w:r>
      <w:r>
        <w:rPr>
          <w:rFonts w:ascii="仿宋_GB2312" w:eastAsia="仿宋_GB2312" w:cs="仿宋_GB2312"/>
          <w:sz w:val="32"/>
          <w:szCs w:val="32"/>
          <w:highlight w:val="none"/>
        </w:rPr>
        <w:t>。</w:t>
      </w:r>
      <w:r>
        <w:rPr>
          <w:rFonts w:ascii="仿宋_GB2312" w:eastAsia="仿宋_GB2312" w:cs="仿宋_GB2312"/>
          <w:sz w:val="32"/>
          <w:szCs w:val="32"/>
        </w:rPr>
        <w:t>支持城市积极有序发展早市、夜市、跳蚤市场、后备箱集市等临时性便民市场，打造10个以上示范市场。支持家政培训机构和企业建设省级家政服务职业培训基地。开展家政服务员、婴幼儿发展引导员等职业技能培训，力争2025年培训8000人次。推动家政行业服务能力提升，打造一批诚实守信、自律规范的示范性家政企业。</w:t>
      </w:r>
      <w:r>
        <w:rPr>
          <w:rFonts w:hint="eastAsia" w:ascii="楷体" w:hAnsi="仿宋_GB2312" w:eastAsia="楷体" w:cs="楷体"/>
          <w:sz w:val="32"/>
          <w:szCs w:val="32"/>
          <w:highlight w:val="none"/>
        </w:rPr>
        <w:t>（责任单位：市商务局</w:t>
      </w:r>
      <w:r>
        <w:rPr>
          <w:rFonts w:ascii="楷体" w:hAnsi="仿宋_GB2312" w:eastAsia="楷体" w:cs="楷体"/>
          <w:sz w:val="32"/>
          <w:szCs w:val="32"/>
          <w:highlight w:val="none"/>
        </w:rPr>
        <w:t>、市文广旅局、市林园局、市城管局</w:t>
      </w:r>
      <w:r>
        <w:rPr>
          <w:rFonts w:hint="eastAsia" w:ascii="楷体" w:hAnsi="仿宋_GB2312" w:eastAsia="楷体" w:cs="楷体"/>
          <w:sz w:val="32"/>
          <w:szCs w:val="32"/>
          <w:highlight w:val="none"/>
        </w:rPr>
        <w:t>）</w:t>
      </w:r>
    </w:p>
    <w:p w14:paraId="3C42D99B">
      <w:pPr>
        <w:spacing w:line="560" w:lineRule="exact"/>
        <w:ind w:firstLine="643" w:firstLineChars="200"/>
        <w:rPr>
          <w:rFonts w:hint="eastAsia" w:ascii="黑体" w:hAnsi="仿宋_GB2312" w:eastAsia="黑体" w:cs="黑体"/>
          <w:color w:val="auto"/>
          <w:sz w:val="32"/>
          <w:szCs w:val="32"/>
          <w:highlight w:val="none"/>
        </w:rPr>
      </w:pPr>
      <w:r>
        <w:rPr>
          <w:rFonts w:hint="eastAsia" w:ascii="楷体" w:eastAsia="楷体" w:cs="楷体"/>
          <w:b/>
          <w:sz w:val="32"/>
          <w:szCs w:val="32"/>
        </w:rPr>
        <w:t>（</w:t>
      </w:r>
      <w:r>
        <w:rPr>
          <w:rFonts w:ascii="楷体" w:eastAsia="楷体" w:cs="楷体"/>
          <w:b/>
          <w:sz w:val="32"/>
          <w:szCs w:val="32"/>
        </w:rPr>
        <w:t>十四</w:t>
      </w:r>
      <w:r>
        <w:rPr>
          <w:rFonts w:hint="eastAsia" w:ascii="楷体" w:eastAsia="楷体" w:cs="楷体"/>
          <w:b/>
          <w:sz w:val="32"/>
          <w:szCs w:val="32"/>
        </w:rPr>
        <w:t>）</w:t>
      </w:r>
      <w:r>
        <w:rPr>
          <w:rFonts w:ascii="楷体" w:eastAsia="楷体" w:cs="楷体"/>
          <w:b/>
          <w:sz w:val="32"/>
          <w:szCs w:val="32"/>
        </w:rPr>
        <w:t>提高银发消费质量</w:t>
      </w:r>
      <w:r>
        <w:rPr>
          <w:rFonts w:hint="eastAsia" w:ascii="楷体" w:eastAsia="楷体" w:cs="楷体"/>
          <w:b/>
          <w:sz w:val="32"/>
          <w:szCs w:val="32"/>
        </w:rPr>
        <w:t>。</w:t>
      </w:r>
      <w:r>
        <w:rPr>
          <w:rFonts w:hint="eastAsia" w:ascii="仿宋" w:eastAsia="仿宋" w:cs="仿宋"/>
          <w:bCs w:val="0"/>
          <w:sz w:val="32"/>
          <w:szCs w:val="32"/>
        </w:rPr>
        <w:t>对购买健康监测手环、跌倒报警器等适老化智能穿戴设备给予30%价格补贴，最高补助2000元。</w:t>
      </w:r>
      <w:r>
        <w:rPr>
          <w:rFonts w:hint="eastAsia" w:ascii="仿宋" w:eastAsia="仿宋" w:cs="仿宋"/>
          <w:sz w:val="32"/>
          <w:szCs w:val="32"/>
          <w:lang w:eastAsia="zh-CN"/>
        </w:rPr>
        <w:t>按照全省部署调整退休人员基本养老金、城乡居民基本养老保险基础养老金最低标准</w:t>
      </w:r>
      <w:r>
        <w:rPr>
          <w:rFonts w:ascii="仿宋_GB2312" w:eastAsia="仿宋_GB2312" w:cs="仿宋_GB2312"/>
          <w:sz w:val="32"/>
          <w:szCs w:val="32"/>
        </w:rPr>
        <w:t>。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支持康养产业发展，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2025年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增加2500张普惠型养老床位，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建设综合嵌入式社区居家养老服务中心50个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</w:t>
      </w:r>
      <w:r>
        <w:rPr>
          <w:rFonts w:ascii="仿宋_GB2312" w:eastAsia="仿宋_GB2312" w:cs="仿宋_GB2312"/>
          <w:sz w:val="32"/>
          <w:szCs w:val="32"/>
        </w:rPr>
        <w:t>培育和认定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ascii="仿宋_GB2312" w:eastAsia="仿宋_GB2312" w:cs="仿宋_GB2312"/>
          <w:sz w:val="32"/>
          <w:szCs w:val="32"/>
        </w:rPr>
        <w:t>家以上旅居养老示范性机构（企业），对承接境外、省外老年人来我省旅居养老的，按照5000人次和10000人次及以上标准，给予适当奖补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</w:t>
      </w:r>
      <w:r>
        <w:rPr>
          <w:rFonts w:ascii="仿宋_GB2312" w:eastAsia="仿宋_GB2312" w:cs="仿宋_GB2312"/>
          <w:sz w:val="32"/>
          <w:szCs w:val="32"/>
        </w:rPr>
        <w:t>支持新建改建合作助老餐厅和助餐点不少于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650个，</w:t>
      </w:r>
      <w:r>
        <w:rPr>
          <w:rFonts w:ascii="仿宋_GB2312" w:eastAsia="仿宋_GB2312" w:cs="仿宋_GB2312"/>
          <w:sz w:val="32"/>
          <w:szCs w:val="32"/>
        </w:rPr>
        <w:t>按照城市社区助老餐厅每年不超过2万元、农村助老餐厅每年不超过1万元（连续补助3年）的标准，对符合条件的助老餐厅给予运营补贴。</w:t>
      </w:r>
      <w:r>
        <w:rPr>
          <w:rFonts w:hint="eastAsia" w:ascii="仿宋" w:eastAsia="仿宋" w:cs="仿宋"/>
          <w:bCs w:val="0"/>
          <w:sz w:val="32"/>
          <w:szCs w:val="32"/>
        </w:rPr>
        <w:t>实施增开银发旅游列车行动计划，引导特色美食、老字号、非遗技艺等上列车。</w:t>
      </w:r>
      <w:r>
        <w:rPr>
          <w:rFonts w:hint="eastAsia" w:ascii="楷体" w:eastAsia="楷体" w:cs="楷体"/>
          <w:sz w:val="32"/>
          <w:szCs w:val="32"/>
        </w:rPr>
        <w:t>（责任单位：市民政局、市人社局、</w:t>
      </w:r>
      <w:r>
        <w:rPr>
          <w:rFonts w:ascii="楷体" w:eastAsia="楷体" w:cs="楷体"/>
          <w:sz w:val="32"/>
          <w:szCs w:val="32"/>
        </w:rPr>
        <w:t>市文广旅局</w:t>
      </w:r>
      <w:r>
        <w:rPr>
          <w:rFonts w:hint="eastAsia" w:ascii="楷体" w:eastAsia="楷体" w:cs="楷体"/>
          <w:sz w:val="32"/>
          <w:szCs w:val="32"/>
        </w:rPr>
        <w:t>）</w:t>
      </w:r>
    </w:p>
    <w:p w14:paraId="521B2FFE">
      <w:pPr>
        <w:spacing w:line="560" w:lineRule="exact"/>
        <w:ind w:firstLine="640" w:firstLineChars="200"/>
        <w:rPr>
          <w:rFonts w:hint="eastAsia" w:ascii="黑体" w:hAnsi="仿宋_GB2312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eastAsia="黑体" w:cs="黑体"/>
          <w:sz w:val="32"/>
          <w:szCs w:val="32"/>
        </w:rPr>
        <w:t>四、大宗消费升级行动</w:t>
      </w:r>
    </w:p>
    <w:p w14:paraId="0C120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spacing w:line="560" w:lineRule="exact"/>
        <w:ind w:firstLine="643" w:firstLineChars="200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（十</w:t>
      </w:r>
      <w:r>
        <w:rPr>
          <w:rFonts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）加力扩围实施</w:t>
      </w:r>
      <w:r>
        <w:rPr>
          <w:rFonts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消费品以旧换新。</w:t>
      </w:r>
      <w:r>
        <w:rPr>
          <w:rFonts w:ascii="仿宋" w:eastAsia="仿宋" w:cs="仿宋"/>
          <w:bCs w:val="0"/>
          <w:sz w:val="32"/>
          <w:szCs w:val="32"/>
        </w:rPr>
        <w:t>用足</w:t>
      </w:r>
      <w:r>
        <w:rPr>
          <w:rFonts w:hint="eastAsia" w:ascii="仿宋" w:eastAsia="仿宋" w:cs="仿宋"/>
          <w:bCs w:val="0"/>
          <w:sz w:val="32"/>
          <w:szCs w:val="32"/>
        </w:rPr>
        <w:t>用好</w:t>
      </w:r>
      <w:r>
        <w:rPr>
          <w:rFonts w:ascii="仿宋" w:eastAsia="仿宋" w:cs="仿宋"/>
          <w:bCs w:val="0"/>
          <w:sz w:val="32"/>
          <w:szCs w:val="32"/>
        </w:rPr>
        <w:t>中央和省级消费品以旧换新资金。</w:t>
      </w:r>
      <w:r>
        <w:rPr>
          <w:rFonts w:hint="eastAsia" w:ascii="仿宋" w:eastAsia="仿宋" w:cs="仿宋"/>
          <w:bCs w:val="0"/>
          <w:sz w:val="32"/>
          <w:szCs w:val="32"/>
        </w:rPr>
        <w:t>家电补贴品种由8+N，拓展到12+N，根据能耗等级分别给予15%、20%补贴，每件补贴不超过2000元。实施手机、平板、智能手表（手环）购新补贴，按照最终销售价格的15%给予补贴，每件最高不超过500元。支持换购合格安全的电动自行车，单台补贴不超过600元。支持家装厨卫“焕新”，对个人消费者购买装修材料、智能家居等33类产品，区分能（水）效标准按实际销售价格的15%—20%给予补贴，每件产品补贴不超过2000元，每位消费者累计补贴最高15000元。在家电、手机、家装等领域建立“即买即补”“支付立减”“即买即送”“送新收旧”“上门服务”等机制，让政策直达消费者，增强消费者获得感。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责任单位：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市商务局</w:t>
      </w:r>
      <w:r>
        <w:rPr>
          <w:rFonts w:ascii="楷体" w:hAnsi="楷体" w:eastAsia="楷体" w:cs="楷体"/>
          <w:color w:val="auto"/>
          <w:sz w:val="32"/>
          <w:szCs w:val="32"/>
          <w:highlight w:val="none"/>
        </w:rPr>
        <w:t>、市发改委、市财政局）</w:t>
      </w:r>
    </w:p>
    <w:p w14:paraId="42E56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（十</w:t>
      </w:r>
      <w:r>
        <w:rPr>
          <w:rFonts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）稳定扩大汽车消费</w:t>
      </w:r>
      <w:r>
        <w:rPr>
          <w:rFonts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落实国家和省政策，</w:t>
      </w:r>
      <w:r>
        <w:rPr>
          <w:rFonts w:hint="eastAsia" w:ascii="仿宋" w:hAnsi="楷体" w:eastAsia="仿宋" w:cs="仿宋"/>
          <w:bCs w:val="0"/>
          <w:color w:val="auto"/>
          <w:sz w:val="32"/>
          <w:szCs w:val="32"/>
          <w:highlight w:val="none"/>
          <w:lang w:val="en-US" w:eastAsia="zh-CN"/>
        </w:rPr>
        <w:t>深入开展汽车报废更新和置换更新</w:t>
      </w:r>
      <w:r>
        <w:rPr>
          <w:rFonts w:ascii="楷体" w:hAnsi="楷体" w:eastAsia="楷体" w:cs="楷体"/>
          <w:bCs w:val="0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" w:eastAsia="仿宋" w:cs="仿宋"/>
          <w:bCs w:val="0"/>
          <w:sz w:val="32"/>
          <w:szCs w:val="32"/>
        </w:rPr>
        <w:t>2025年个人消费者转让登记在本人名下的乘用车，并在省内购买燃油或新能源乘用车新车，按发票金额分四档给予3000元、7000元、11000、13000元或4000元、8000元、12000元、15000元不同额度的补贴。个人消费者报废符合条件的乘用车，并购买符合减免车辆购置税的新能源、燃油乘用车，分别给予2万元、1.5万元补贴。2025年不限制新车落籍地，取消对旧车的车籍地和交易地限制。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积极争取汽车流通消费改革试点。</w:t>
      </w:r>
      <w:r>
        <w:rPr>
          <w:rFonts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开展多元化汽车促销活动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，</w:t>
      </w:r>
      <w:r>
        <w:rPr>
          <w:rFonts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组织汽车下乡，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充分利用汽博会等展会平台，推出新款车型，集中展示展销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-SA"/>
        </w:rPr>
        <w:t>。</w:t>
      </w:r>
      <w:r>
        <w:rPr>
          <w:rFonts w:hint="eastAsia" w:ascii="楷体" w:hAnsi="仿宋_GB2312" w:eastAsia="楷体" w:cs="楷体"/>
          <w:sz w:val="32"/>
          <w:szCs w:val="32"/>
          <w:highlight w:val="none"/>
        </w:rPr>
        <w:t>（责任单位：市商务局）</w:t>
      </w:r>
    </w:p>
    <w:p w14:paraId="5E775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spacing w:line="560" w:lineRule="exact"/>
        <w:ind w:firstLine="643" w:firstLineChars="200"/>
        <w:rPr>
          <w:rFonts w:ascii="仿宋_GB2312" w:hAnsi="仿宋_GB2312" w:eastAsia="仿宋_GB2312" w:cs="仿宋_GB2312"/>
          <w:color w:val="FF0000"/>
          <w:sz w:val="32"/>
          <w:szCs w:val="32"/>
          <w:highlight w:val="none"/>
          <w:u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（十</w:t>
      </w:r>
      <w:r>
        <w:rPr>
          <w:rFonts w:ascii="楷体" w:hAnsi="楷体" w:eastAsia="楷体" w:cs="楷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七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）提升改善性商品房消费</w:t>
      </w:r>
      <w:r>
        <w:rPr>
          <w:rFonts w:ascii="楷体" w:hAnsi="楷体" w:eastAsia="楷体" w:cs="楷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eastAsia" w:ascii="仿宋" w:eastAsia="仿宋" w:cs="仿宋"/>
          <w:bCs w:val="0"/>
          <w:sz w:val="32"/>
          <w:szCs w:val="32"/>
          <w:lang w:val="en-US" w:eastAsia="zh-CN"/>
        </w:rPr>
        <w:t>制定“好房子”评价标准及实施方案，</w:t>
      </w:r>
      <w:r>
        <w:rPr>
          <w:rFonts w:hint="eastAsia" w:ascii="仿宋" w:eastAsia="仿宋" w:cs="仿宋"/>
          <w:bCs w:val="0"/>
          <w:sz w:val="32"/>
          <w:szCs w:val="32"/>
        </w:rPr>
        <w:t>2025年</w:t>
      </w:r>
      <w:r>
        <w:rPr>
          <w:rFonts w:hint="eastAsia" w:ascii="仿宋" w:eastAsia="仿宋" w:cs="仿宋"/>
          <w:bCs w:val="0"/>
          <w:sz w:val="32"/>
          <w:szCs w:val="32"/>
          <w:lang w:eastAsia="zh-CN"/>
        </w:rPr>
        <w:t>推选</w:t>
      </w:r>
      <w:r>
        <w:rPr>
          <w:rFonts w:hint="eastAsia" w:ascii="仿宋" w:eastAsia="仿宋" w:cs="仿宋"/>
          <w:bCs w:val="0"/>
          <w:sz w:val="32"/>
          <w:szCs w:val="32"/>
          <w:lang w:val="en-US" w:eastAsia="zh-CN"/>
        </w:rPr>
        <w:t>10</w:t>
      </w:r>
      <w:r>
        <w:rPr>
          <w:rFonts w:hint="eastAsia" w:ascii="仿宋" w:eastAsia="仿宋" w:cs="仿宋"/>
          <w:bCs w:val="0"/>
          <w:sz w:val="32"/>
          <w:szCs w:val="32"/>
        </w:rPr>
        <w:t>个以“好房子”</w:t>
      </w:r>
      <w:r>
        <w:rPr>
          <w:rFonts w:hint="eastAsia" w:ascii="仿宋" w:eastAsia="仿宋" w:cs="仿宋"/>
          <w:bCs w:val="0"/>
          <w:sz w:val="32"/>
          <w:szCs w:val="32"/>
          <w:lang w:eastAsia="zh-CN"/>
        </w:rPr>
        <w:t>试点</w:t>
      </w:r>
      <w:r>
        <w:rPr>
          <w:rFonts w:hint="eastAsia" w:ascii="仿宋" w:eastAsia="仿宋" w:cs="仿宋"/>
          <w:bCs w:val="0"/>
          <w:sz w:val="32"/>
          <w:szCs w:val="32"/>
        </w:rPr>
        <w:t>项目，促进住房消费升级。</w:t>
      </w:r>
      <w:r>
        <w:rPr>
          <w:rFonts w:hint="eastAsia" w:ascii="仿宋" w:eastAsia="仿宋" w:cs="仿宋"/>
          <w:bCs w:val="0"/>
          <w:sz w:val="32"/>
          <w:szCs w:val="32"/>
          <w:lang w:eastAsia="zh-CN"/>
        </w:rPr>
        <w:t>加快推进城市危旧房改造，</w:t>
      </w:r>
      <w:r>
        <w:rPr>
          <w:rFonts w:ascii="仿宋" w:eastAsia="仿宋" w:cs="仿宋"/>
          <w:sz w:val="32"/>
          <w:szCs w:val="32"/>
        </w:rPr>
        <w:t>采取收购等方式筹集城中村安置房不少于3000套。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制定房地产促消费举措，开展房地产促销月等活动，发放购房贷款贴息、全款购房消费券。</w:t>
      </w:r>
      <w:r>
        <w:rPr>
          <w:rFonts w:ascii="仿宋_GB2312" w:eastAsia="仿宋_GB2312" w:cs="仿宋_GB2312"/>
          <w:sz w:val="32"/>
          <w:szCs w:val="32"/>
        </w:rPr>
        <w:t>给予“多子女家庭”住房公积金贷款额度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上限上浮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20%-40%的支持</w:t>
      </w:r>
      <w:r>
        <w:rPr>
          <w:rFonts w:ascii="仿宋_GB2312" w:eastAsia="仿宋_GB2312" w:cs="仿宋_GB2312"/>
          <w:sz w:val="32"/>
          <w:szCs w:val="32"/>
        </w:rPr>
        <w:t>。允许“多子女家庭”、新市民、青年人以及租住公共租赁住房、保障性租赁住房的缴存人按照实际房租支出提取住房公积金。允许连续足额缴存住房公积金6个月（含）以上的灵活就业人员申请购房贷款。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责任单位：</w:t>
      </w:r>
      <w:r>
        <w:rPr>
          <w:rFonts w:ascii="楷体" w:hAnsi="楷体" w:eastAsia="楷体" w:cs="楷体"/>
          <w:color w:val="auto"/>
          <w:sz w:val="32"/>
          <w:szCs w:val="32"/>
          <w:highlight w:val="none"/>
        </w:rPr>
        <w:t>市房管局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、市</w:t>
      </w:r>
      <w:r>
        <w:rPr>
          <w:rFonts w:ascii="楷体" w:hAnsi="楷体" w:eastAsia="楷体" w:cs="楷体"/>
          <w:color w:val="auto"/>
          <w:sz w:val="32"/>
          <w:szCs w:val="32"/>
          <w:highlight w:val="none"/>
        </w:rPr>
        <w:t>公积金）</w:t>
      </w:r>
    </w:p>
    <w:p w14:paraId="2FC91854">
      <w:pPr>
        <w:spacing w:line="560" w:lineRule="exact"/>
        <w:ind w:firstLine="640" w:firstLineChars="200"/>
        <w:rPr>
          <w:rFonts w:hint="eastAsia" w:ascii="黑体" w:hAnsi="仿宋_GB2312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eastAsia="黑体" w:cs="黑体"/>
          <w:sz w:val="32"/>
          <w:szCs w:val="32"/>
        </w:rPr>
        <w:t>五、消费品质提升行动</w:t>
      </w:r>
    </w:p>
    <w:p w14:paraId="4C3225B1">
      <w:pPr>
        <w:spacing w:line="560" w:lineRule="exact"/>
        <w:ind w:firstLine="643" w:firstLineChars="200"/>
        <w:rPr>
          <w:rFonts w:ascii="黑体" w:hAnsi="仿宋_GB2312" w:eastAsia="黑体" w:cs="黑体"/>
          <w:color w:val="auto"/>
          <w:sz w:val="32"/>
          <w:szCs w:val="32"/>
          <w:highlight w:val="none"/>
        </w:rPr>
      </w:pPr>
      <w:r>
        <w:rPr>
          <w:rFonts w:hint="eastAsia" w:ascii="楷体" w:hAnsi="仿宋_GB2312" w:eastAsia="楷体" w:cs="楷体"/>
          <w:b/>
          <w:color w:val="auto"/>
          <w:sz w:val="32"/>
          <w:szCs w:val="32"/>
          <w:highlight w:val="none"/>
        </w:rPr>
        <w:t>（十</w:t>
      </w:r>
      <w:r>
        <w:rPr>
          <w:rFonts w:ascii="楷体" w:hAnsi="仿宋_GB2312" w:eastAsia="楷体" w:cs="楷体"/>
          <w:b/>
          <w:color w:val="auto"/>
          <w:sz w:val="32"/>
          <w:szCs w:val="32"/>
          <w:highlight w:val="none"/>
        </w:rPr>
        <w:t>八</w:t>
      </w:r>
      <w:r>
        <w:rPr>
          <w:rFonts w:hint="eastAsia" w:ascii="楷体" w:hAnsi="仿宋_GB2312" w:eastAsia="楷体" w:cs="楷体"/>
          <w:b/>
          <w:color w:val="auto"/>
          <w:sz w:val="32"/>
          <w:szCs w:val="32"/>
          <w:highlight w:val="none"/>
        </w:rPr>
        <w:t>）培育品牌消费。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持续推动老字号守正创新发展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第二批长春老字号认定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，加快老字号梯次建设。</w:t>
      </w:r>
      <w:r>
        <w:rPr>
          <w:rFonts w:ascii="仿宋_GB2312" w:eastAsia="仿宋_GB2312" w:cs="仿宋_GB2312"/>
          <w:sz w:val="32"/>
          <w:szCs w:val="32"/>
        </w:rPr>
        <w:t>强化有机产品认证监督检查，举办世界认可日、有机产品认证宣传周等活动。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支持名优农产品发展壮大，提升绿色有机农产品影响力，培育更多的地理标志性品牌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借助东博会、农博会等省部级展会平台，搭建人参、鹿茸、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食用菌、</w:t>
      </w:r>
      <w:r>
        <w:rPr>
          <w:rFonts w:hint="eastAsia" w:ascii="仿宋_GB2312" w:hAnsi="仿宋_GB2312" w:eastAsia="仿宋_GB2312" w:cs="仿宋_GB2312"/>
          <w:sz w:val="32"/>
          <w:szCs w:val="32"/>
        </w:rPr>
        <w:t>优质农产品等展示区，推动特色产品“走出去”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。扩大“长春礼物”城市文创IP效应，深度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开发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长春冰雪文创系列产品。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支持外贸产品拓内销，参加国家外贸优品中华行活动，引导外贸企业加强培育自主品牌，落实国内贸易信用保险支持内外贸一体化政策。</w:t>
      </w:r>
      <w:r>
        <w:rPr>
          <w:rFonts w:hint="eastAsia" w:ascii="楷体" w:hAnsi="仿宋_GB2312" w:eastAsia="楷体" w:cs="楷体"/>
          <w:sz w:val="32"/>
          <w:szCs w:val="32"/>
          <w:highlight w:val="none"/>
        </w:rPr>
        <w:t>（责任单位：市商务局、</w:t>
      </w:r>
      <w:r>
        <w:rPr>
          <w:rFonts w:ascii="楷体" w:hAnsi="仿宋_GB2312" w:eastAsia="楷体" w:cs="楷体"/>
          <w:sz w:val="32"/>
          <w:szCs w:val="32"/>
          <w:highlight w:val="none"/>
        </w:rPr>
        <w:t>市农业农村局、市市场监管局、</w:t>
      </w:r>
      <w:r>
        <w:rPr>
          <w:rFonts w:hint="eastAsia" w:ascii="楷体" w:hAnsi="仿宋_GB2312" w:eastAsia="楷体" w:cs="楷体"/>
          <w:sz w:val="32"/>
          <w:szCs w:val="32"/>
          <w:highlight w:val="none"/>
        </w:rPr>
        <w:t>市文广旅局）</w:t>
      </w:r>
    </w:p>
    <w:p w14:paraId="1449CF26"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楷体" w:hAnsi="仿宋_GB2312" w:eastAsia="楷体" w:cs="楷体"/>
          <w:b/>
          <w:color w:val="auto"/>
          <w:sz w:val="32"/>
          <w:szCs w:val="32"/>
          <w:highlight w:val="none"/>
        </w:rPr>
        <w:t>（十</w:t>
      </w:r>
      <w:r>
        <w:rPr>
          <w:rFonts w:ascii="楷体" w:hAnsi="仿宋_GB2312" w:eastAsia="楷体" w:cs="楷体"/>
          <w:b/>
          <w:color w:val="auto"/>
          <w:sz w:val="32"/>
          <w:szCs w:val="32"/>
          <w:highlight w:val="none"/>
        </w:rPr>
        <w:t>九</w:t>
      </w:r>
      <w:r>
        <w:rPr>
          <w:rFonts w:hint="eastAsia" w:ascii="楷体" w:hAnsi="仿宋_GB2312" w:eastAsia="楷体" w:cs="楷体"/>
          <w:b/>
          <w:sz w:val="32"/>
          <w:szCs w:val="32"/>
          <w:highlight w:val="none"/>
        </w:rPr>
        <w:t>）发展</w:t>
      </w:r>
      <w:r>
        <w:rPr>
          <w:rFonts w:hint="eastAsia" w:ascii="楷体" w:hAnsi="仿宋_GB2312" w:eastAsia="楷体" w:cs="楷体"/>
          <w:b/>
          <w:sz w:val="32"/>
          <w:szCs w:val="32"/>
          <w:highlight w:val="none"/>
          <w:lang w:val="en-US" w:eastAsia="zh-CN"/>
        </w:rPr>
        <w:t>新型消费。</w:t>
      </w:r>
      <w:r>
        <w:rPr>
          <w:rFonts w:hint="eastAsia" w:ascii="仿宋" w:eastAsia="仿宋" w:cs="仿宋"/>
          <w:bCs w:val="0"/>
          <w:sz w:val="32"/>
          <w:szCs w:val="32"/>
        </w:rPr>
        <w:t>支持开设和引进特色首店、举办首发（首秀）活动等，对固定资产投资额亿元以上的首发集聚区，按比例给予投资主体最高不超过1000万元的一次性补贴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2025年力争落位品牌首店200个。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扩大线上消费供给，组织开展第五届中国新电商大会、</w:t>
      </w:r>
      <w:r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  <w:t>网络年货节、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双品网购节</w:t>
      </w:r>
      <w:r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  <w:t>等主题活动，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支持开展专场带货直播50场以上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活跃夜间经济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，全年开展夜间消费促进活动1000场以上。</w:t>
      </w:r>
      <w:r>
        <w:rPr>
          <w:rFonts w:ascii="仿宋_GB2312" w:hAnsi="仿宋_GB2312" w:eastAsia="仿宋_GB2312" w:cs="仿宋_GB2312"/>
          <w:sz w:val="32"/>
          <w:szCs w:val="32"/>
          <w:lang w:val="en-US" w:eastAsia="zh-CN" w:bidi="ar-SA"/>
        </w:rPr>
        <w:t>促进健康消费，发展健康体检、健康咨询、健康管理等新型服务业态，开发康复疗养、休闲养生等健康旅游路线和产品，发挥中医药治未病优势，开展中医养生保健、营养指导、药膳食疗等活动。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探索“低空+</w:t>
      </w:r>
      <w:r>
        <w:rPr>
          <w:rFonts w:ascii="仿宋_GB2312" w:hAnsi="仿宋_GB2312" w:eastAsia="仿宋_GB2312" w:cs="仿宋_GB2312"/>
          <w:sz w:val="32"/>
          <w:szCs w:val="32"/>
          <w:lang w:val="en-US" w:eastAsia="zh-CN" w:bidi="ar-SA"/>
        </w:rPr>
        <w:t>文旅消费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”</w:t>
      </w:r>
      <w:r>
        <w:rPr>
          <w:rFonts w:ascii="仿宋_GB2312" w:hAnsi="仿宋_GB2312" w:eastAsia="仿宋_GB2312" w:cs="仿宋_GB2312"/>
          <w:sz w:val="32"/>
          <w:szCs w:val="32"/>
          <w:lang w:val="en-US" w:eastAsia="zh-CN" w:bidi="ar-SA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多元应用场景</w:t>
      </w:r>
      <w:r>
        <w:rPr>
          <w:rFonts w:ascii="仿宋_GB2312" w:hAnsi="仿宋_GB2312" w:eastAsia="仿宋_GB2312" w:cs="仿宋_GB2312"/>
          <w:sz w:val="32"/>
          <w:szCs w:val="32"/>
          <w:lang w:val="en-US" w:eastAsia="zh-CN" w:bidi="ar-SA"/>
        </w:rPr>
        <w:t>。</w:t>
      </w:r>
      <w:r>
        <w:rPr>
          <w:rFonts w:hint="eastAsia" w:ascii="楷体" w:hAnsi="仿宋_GB2312" w:eastAsia="楷体" w:cs="楷体"/>
          <w:sz w:val="32"/>
          <w:szCs w:val="32"/>
          <w:highlight w:val="none"/>
        </w:rPr>
        <w:t>（责任单位：市商务局、市卫健委、</w:t>
      </w:r>
      <w:r>
        <w:rPr>
          <w:rFonts w:ascii="楷体" w:hAnsi="仿宋_GB2312" w:eastAsia="楷体" w:cs="楷体"/>
          <w:sz w:val="32"/>
          <w:szCs w:val="32"/>
          <w:highlight w:val="none"/>
        </w:rPr>
        <w:t>市文广旅局</w:t>
      </w:r>
      <w:r>
        <w:rPr>
          <w:rFonts w:hint="eastAsia" w:ascii="楷体" w:hAnsi="仿宋_GB2312" w:eastAsia="楷体" w:cs="楷体"/>
          <w:sz w:val="32"/>
          <w:szCs w:val="32"/>
          <w:highlight w:val="none"/>
        </w:rPr>
        <w:t>）</w:t>
      </w:r>
    </w:p>
    <w:p w14:paraId="72A62E96">
      <w:pPr>
        <w:spacing w:line="560" w:lineRule="exact"/>
        <w:ind w:firstLine="643" w:firstLineChars="200"/>
        <w:rPr>
          <w:rFonts w:ascii="黑体" w:hAnsi="仿宋_GB2312" w:eastAsia="黑体" w:cs="黑体"/>
          <w:color w:val="auto"/>
          <w:sz w:val="32"/>
          <w:szCs w:val="32"/>
          <w:highlight w:val="none"/>
        </w:rPr>
      </w:pPr>
      <w:r>
        <w:rPr>
          <w:rFonts w:hint="eastAsia" w:ascii="楷体" w:hAnsi="仿宋_GB2312" w:eastAsia="楷体" w:cs="楷体"/>
          <w:b/>
          <w:sz w:val="32"/>
          <w:szCs w:val="32"/>
          <w:lang w:val="en-US" w:eastAsia="zh-CN" w:bidi="ar-SA"/>
        </w:rPr>
        <w:t>（二十）支持入境消费。</w:t>
      </w:r>
      <w:r>
        <w:rPr>
          <w:rFonts w:hint="eastAsia" w:ascii="仿宋_GB2312" w:eastAsia="仿宋_GB2312" w:cs="仿宋_GB2312"/>
          <w:bCs/>
          <w:sz w:val="32"/>
          <w:szCs w:val="32"/>
          <w:lang w:bidi="ar-SA"/>
        </w:rPr>
        <w:t>支持开展“保税展示+跨境电商”的跨境保税新零售模式试点，</w:t>
      </w:r>
      <w:r>
        <w:rPr>
          <w:rFonts w:ascii="仿宋_GB2312" w:eastAsia="仿宋_GB2312" w:cs="仿宋_GB2312"/>
          <w:bCs/>
          <w:sz w:val="32"/>
          <w:szCs w:val="32"/>
          <w:lang w:bidi="ar-SA"/>
        </w:rPr>
        <w:t>培育</w:t>
      </w:r>
      <w:r>
        <w:rPr>
          <w:rFonts w:hint="eastAsia" w:ascii="仿宋_GB2312" w:eastAsia="仿宋_GB2312" w:cs="仿宋_GB2312"/>
          <w:bCs/>
          <w:sz w:val="32"/>
          <w:szCs w:val="32"/>
          <w:lang w:bidi="ar-SA"/>
        </w:rPr>
        <w:t>内外贸一体化新零售业态。</w:t>
      </w:r>
      <w:r>
        <w:rPr>
          <w:rFonts w:ascii="仿宋_GB2312" w:eastAsia="仿宋_GB2312" w:cs="仿宋_GB2312"/>
          <w:sz w:val="32"/>
          <w:szCs w:val="32"/>
        </w:rPr>
        <w:t>优化景区景点外语服务、外语标识、外币兑换等综合服务。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推动</w:t>
      </w:r>
      <w:r>
        <w:rPr>
          <w:rFonts w:hint="eastAsia" w:ascii="仿宋_GB2312" w:eastAsia="仿宋_GB2312" w:cs="仿宋_GB2312"/>
          <w:sz w:val="32"/>
          <w:szCs w:val="32"/>
        </w:rPr>
        <w:t>离境退税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</w:rPr>
        <w:t>“即买即退”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政策落实</w:t>
      </w:r>
      <w:r>
        <w:rPr>
          <w:rFonts w:ascii="仿宋_GB2312" w:eastAsia="仿宋_GB2312" w:cs="仿宋_GB2312"/>
          <w:sz w:val="32"/>
          <w:szCs w:val="32"/>
        </w:rPr>
        <w:t>。积极扩大国际商品进口，优化商品消费供给。发挥中欧班列空车返回物流成本优势，开设沿线国家进口商品专柜</w:t>
      </w:r>
      <w:r>
        <w:rPr>
          <w:rFonts w:ascii="仿宋_GB2312" w:eastAsia="仿宋_GB2312" w:cs="仿宋_GB2312"/>
          <w:bCs/>
          <w:sz w:val="32"/>
          <w:szCs w:val="32"/>
          <w:lang w:bidi="ar-SA"/>
        </w:rPr>
        <w:t>。</w:t>
      </w:r>
      <w:r>
        <w:rPr>
          <w:rFonts w:hint="eastAsia" w:ascii="楷体" w:hAnsi="仿宋_GB2312" w:eastAsia="楷体" w:cs="楷体"/>
          <w:sz w:val="32"/>
          <w:szCs w:val="32"/>
          <w:highlight w:val="none"/>
        </w:rPr>
        <w:t>（责任单位：市商务局、</w:t>
      </w:r>
      <w:r>
        <w:rPr>
          <w:rFonts w:hint="eastAsia" w:ascii="楷体" w:hAnsi="仿宋_GB2312" w:eastAsia="楷体" w:cs="楷体"/>
          <w:sz w:val="32"/>
          <w:szCs w:val="32"/>
          <w:highlight w:val="none"/>
          <w:lang w:eastAsia="zh-CN"/>
        </w:rPr>
        <w:t>兴隆海关、</w:t>
      </w:r>
      <w:r>
        <w:rPr>
          <w:rFonts w:ascii="楷体" w:hAnsi="仿宋_GB2312" w:eastAsia="楷体" w:cs="楷体"/>
          <w:sz w:val="32"/>
          <w:szCs w:val="32"/>
          <w:highlight w:val="none"/>
        </w:rPr>
        <w:t>市税务局、市财政局、市文广旅局、</w:t>
      </w:r>
      <w:r>
        <w:rPr>
          <w:rFonts w:ascii="楷体" w:hAnsi="仿宋_GB2312" w:eastAsia="楷体" w:cs="楷体"/>
          <w:color w:val="auto"/>
          <w:sz w:val="32"/>
          <w:szCs w:val="32"/>
          <w:highlight w:val="none"/>
        </w:rPr>
        <w:t>兴隆综保区</w:t>
      </w:r>
      <w:r>
        <w:rPr>
          <w:rFonts w:hint="eastAsia" w:ascii="楷体" w:hAnsi="仿宋_GB2312" w:eastAsia="楷体" w:cs="楷体"/>
          <w:sz w:val="32"/>
          <w:szCs w:val="32"/>
          <w:highlight w:val="none"/>
        </w:rPr>
        <w:t>）</w:t>
      </w:r>
    </w:p>
    <w:p w14:paraId="14DB2945">
      <w:pPr>
        <w:spacing w:line="560" w:lineRule="exact"/>
        <w:ind w:firstLine="643" w:firstLineChars="200"/>
        <w:rPr>
          <w:rFonts w:ascii="楷体" w:hAnsi="楷体" w:eastAsia="楷体" w:cs="楷体"/>
          <w:sz w:val="32"/>
          <w:szCs w:val="32"/>
          <w:highlight w:val="none"/>
          <w:lang w:val="en-US"/>
        </w:rPr>
      </w:pPr>
      <w:r>
        <w:rPr>
          <w:rFonts w:hint="eastAsia" w:ascii="楷体" w:hAnsi="仿宋_GB2312" w:eastAsia="楷体" w:cs="楷体"/>
          <w:b/>
          <w:color w:val="auto"/>
          <w:sz w:val="32"/>
          <w:szCs w:val="32"/>
          <w:highlight w:val="none"/>
        </w:rPr>
        <w:t>（</w:t>
      </w:r>
      <w:r>
        <w:rPr>
          <w:rFonts w:ascii="楷体" w:hAnsi="仿宋_GB2312" w:eastAsia="楷体" w:cs="楷体"/>
          <w:b/>
          <w:color w:val="auto"/>
          <w:sz w:val="32"/>
          <w:szCs w:val="32"/>
          <w:highlight w:val="none"/>
        </w:rPr>
        <w:t>二十一</w:t>
      </w:r>
      <w:r>
        <w:rPr>
          <w:rFonts w:hint="eastAsia" w:ascii="楷体" w:hAnsi="仿宋_GB2312" w:eastAsia="楷体" w:cs="楷体"/>
          <w:b/>
          <w:color w:val="auto"/>
          <w:sz w:val="32"/>
          <w:szCs w:val="32"/>
          <w:highlight w:val="none"/>
        </w:rPr>
        <w:t>）提升消费场景。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推进新民大街“一馆三厅”建设。加强重点</w:t>
      </w:r>
      <w:r>
        <w:rPr>
          <w:rFonts w:ascii="仿宋_GB2312" w:hAnsi="仿宋_GB2312" w:eastAsia="仿宋_GB2312" w:cs="仿宋_GB2312"/>
          <w:sz w:val="32"/>
          <w:szCs w:val="32"/>
        </w:rPr>
        <w:t>文商旅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项目服务保障，推动长春方特、这有水</w:t>
      </w:r>
      <w:r>
        <w:rPr>
          <w:rFonts w:ascii="仿宋_GB2312" w:hAnsi="仿宋_GB2312" w:eastAsia="仿宋_GB2312" w:cs="仿宋_GB2312"/>
          <w:sz w:val="32"/>
          <w:szCs w:val="32"/>
        </w:rPr>
        <w:t>、万达茂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ascii="仿宋_GB2312" w:hAnsi="仿宋_GB2312" w:eastAsia="仿宋_GB2312" w:cs="仿宋_GB2312"/>
          <w:sz w:val="32"/>
          <w:szCs w:val="32"/>
        </w:rPr>
        <w:t>项目建设和业态引进。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加快推动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传统商圈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改造提升</w:t>
      </w:r>
      <w:r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因地制宜打造区级商圈和特色</w:t>
      </w:r>
      <w:r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  <w:t>商街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</w:t>
      </w:r>
      <w:r>
        <w:rPr>
          <w:rFonts w:ascii="仿宋_GB2312" w:hAnsi="仿宋_GB2312" w:eastAsia="仿宋_GB2312" w:cs="仿宋_GB2312"/>
          <w:bCs w:val="0"/>
          <w:sz w:val="32"/>
          <w:szCs w:val="32"/>
          <w:highlight w:val="none"/>
        </w:rPr>
        <w:t>积极谋划、包装、引进新型消费项目。</w:t>
      </w:r>
      <w:r>
        <w:rPr>
          <w:rFonts w:ascii="仿宋_GB2312" w:eastAsia="仿宋_GB2312" w:cs="仿宋_GB2312"/>
          <w:sz w:val="32"/>
          <w:szCs w:val="32"/>
        </w:rPr>
        <w:t>支持“电影+”业态发展，引导电影放映企业新建、改建沉浸式影厅、影院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。落实全省</w:t>
      </w:r>
      <w:r>
        <w:rPr>
          <w:rFonts w:ascii="仿宋_GB2312" w:eastAsia="仿宋_GB2312" w:cs="仿宋_GB2312"/>
          <w:sz w:val="32"/>
          <w:szCs w:val="32"/>
        </w:rPr>
        <w:t>新华书店改革，推动发展“书店+校园”“书店+影院”“书店+社区”等模式，建设万米书城，打造书店超市。升级改造长春市奥体公园体育场等城市大型文艺演出场馆。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优化商圈公共交通配套，推进重点商圈区域</w:t>
      </w:r>
      <w:r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  <w:t>新增收费停车泊位及长春市静态交通智慧管理平台建设。</w:t>
      </w:r>
      <w:r>
        <w:rPr>
          <w:rFonts w:hint="eastAsia" w:ascii="楷体" w:hAnsi="仿宋_GB2312" w:eastAsia="楷体" w:cs="楷体"/>
          <w:sz w:val="32"/>
          <w:szCs w:val="32"/>
          <w:highlight w:val="none"/>
        </w:rPr>
        <w:t>（责任单位：</w:t>
      </w:r>
      <w:r>
        <w:rPr>
          <w:rFonts w:ascii="楷体" w:hAnsi="仿宋_GB2312" w:eastAsia="楷体" w:cs="楷体"/>
          <w:sz w:val="32"/>
          <w:szCs w:val="32"/>
          <w:highlight w:val="none"/>
        </w:rPr>
        <w:t>市文广旅局、</w:t>
      </w:r>
      <w:r>
        <w:rPr>
          <w:rFonts w:hint="eastAsia" w:ascii="楷体" w:hAnsi="仿宋_GB2312" w:eastAsia="楷体" w:cs="楷体"/>
          <w:sz w:val="32"/>
          <w:szCs w:val="32"/>
          <w:highlight w:val="none"/>
        </w:rPr>
        <w:t>市商务局、</w:t>
      </w:r>
      <w:r>
        <w:rPr>
          <w:rFonts w:ascii="楷体" w:hAnsi="仿宋_GB2312" w:eastAsia="楷体" w:cs="楷体"/>
          <w:sz w:val="32"/>
          <w:szCs w:val="32"/>
          <w:highlight w:val="none"/>
        </w:rPr>
        <w:t>市经合局、市委宣传部</w:t>
      </w:r>
      <w:r>
        <w:rPr>
          <w:rFonts w:hint="eastAsia" w:ascii="楷体" w:hAnsi="仿宋_GB2312" w:eastAsia="楷体" w:cs="楷体"/>
          <w:sz w:val="32"/>
          <w:szCs w:val="32"/>
          <w:highlight w:val="none"/>
        </w:rPr>
        <w:t>、市建委</w:t>
      </w:r>
      <w:r>
        <w:rPr>
          <w:rFonts w:ascii="楷体" w:hAnsi="仿宋_GB2312" w:eastAsia="楷体" w:cs="楷体"/>
          <w:sz w:val="32"/>
          <w:szCs w:val="32"/>
          <w:highlight w:val="none"/>
        </w:rPr>
        <w:t>、市体育局、</w:t>
      </w:r>
      <w:r>
        <w:rPr>
          <w:rFonts w:hint="eastAsia" w:ascii="楷体" w:hAnsi="仿宋_GB2312" w:eastAsia="楷体" w:cs="楷体"/>
          <w:sz w:val="32"/>
          <w:szCs w:val="32"/>
          <w:highlight w:val="none"/>
        </w:rPr>
        <w:t>市交通局</w:t>
      </w:r>
      <w:r>
        <w:rPr>
          <w:rFonts w:hint="eastAsia" w:ascii="楷体" w:hAnsi="仿宋_GB2312" w:eastAsia="楷体" w:cs="楷体"/>
          <w:sz w:val="32"/>
          <w:szCs w:val="32"/>
          <w:highlight w:val="none"/>
          <w:lang w:eastAsia="zh-CN"/>
        </w:rPr>
        <w:t>、长春新区</w:t>
      </w:r>
      <w:r>
        <w:rPr>
          <w:rFonts w:hint="eastAsia" w:ascii="楷体" w:hAnsi="仿宋_GB2312" w:eastAsia="楷体" w:cs="楷体"/>
          <w:sz w:val="32"/>
          <w:szCs w:val="32"/>
          <w:highlight w:val="none"/>
        </w:rPr>
        <w:t>）</w:t>
      </w:r>
    </w:p>
    <w:p w14:paraId="022B7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spacing w:line="560" w:lineRule="exact"/>
        <w:ind w:firstLine="643" w:firstLineChars="200"/>
        <w:rPr>
          <w:rFonts w:hint="eastAsia" w:ascii="黑体" w:hAnsi="仿宋_GB2312" w:eastAsia="黑体" w:cs="黑体"/>
          <w:sz w:val="32"/>
          <w:szCs w:val="32"/>
        </w:rPr>
      </w:pPr>
      <w:r>
        <w:rPr>
          <w:rFonts w:hint="eastAsia" w:ascii="楷体" w:hAnsi="仿宋_GB2312" w:eastAsia="楷体" w:cs="楷体"/>
          <w:b/>
          <w:sz w:val="32"/>
          <w:szCs w:val="32"/>
          <w:highlight w:val="none"/>
          <w:lang w:val="en-US"/>
        </w:rPr>
        <w:t>（二十</w:t>
      </w:r>
      <w:r>
        <w:rPr>
          <w:rFonts w:ascii="楷体" w:hAnsi="仿宋_GB2312" w:eastAsia="楷体" w:cs="楷体"/>
          <w:b/>
          <w:sz w:val="32"/>
          <w:szCs w:val="32"/>
          <w:highlight w:val="none"/>
          <w:lang w:val="en-US"/>
        </w:rPr>
        <w:t>二</w:t>
      </w:r>
      <w:r>
        <w:rPr>
          <w:rFonts w:hint="eastAsia" w:ascii="楷体" w:hAnsi="仿宋_GB2312" w:eastAsia="楷体" w:cs="楷体"/>
          <w:b/>
          <w:sz w:val="32"/>
          <w:szCs w:val="32"/>
          <w:highlight w:val="none"/>
          <w:lang w:val="en-US"/>
        </w:rPr>
        <w:t>）</w:t>
      </w:r>
      <w:r>
        <w:rPr>
          <w:rFonts w:ascii="楷体" w:hAnsi="仿宋_GB2312" w:eastAsia="楷体" w:cs="楷体"/>
          <w:b/>
          <w:sz w:val="32"/>
          <w:szCs w:val="32"/>
          <w:highlight w:val="none"/>
          <w:lang w:val="en-US" w:eastAsia="zh-CN"/>
        </w:rPr>
        <w:t>开展</w:t>
      </w:r>
      <w:r>
        <w:rPr>
          <w:rFonts w:hint="eastAsia" w:ascii="楷体" w:hAnsi="仿宋_GB2312" w:eastAsia="楷体" w:cs="楷体"/>
          <w:b/>
          <w:sz w:val="32"/>
          <w:szCs w:val="32"/>
          <w:highlight w:val="none"/>
          <w:lang w:val="en-US" w:eastAsia="zh-CN"/>
        </w:rPr>
        <w:t>多元</w:t>
      </w:r>
      <w:r>
        <w:rPr>
          <w:rFonts w:ascii="楷体" w:hAnsi="仿宋_GB2312" w:eastAsia="楷体" w:cs="楷体"/>
          <w:b/>
          <w:sz w:val="32"/>
          <w:szCs w:val="32"/>
          <w:highlight w:val="none"/>
          <w:lang w:val="en-US" w:eastAsia="zh-CN"/>
        </w:rPr>
        <w:t>活动</w:t>
      </w:r>
      <w:r>
        <w:rPr>
          <w:rFonts w:hint="eastAsia" w:ascii="楷体" w:hAnsi="仿宋_GB2312" w:eastAsia="楷体" w:cs="楷体"/>
          <w:b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" w:eastAsia="仿宋" w:cs="仿宋"/>
          <w:bCs w:val="0"/>
          <w:sz w:val="32"/>
          <w:szCs w:val="32"/>
          <w:lang w:eastAsia="zh-CN"/>
        </w:rPr>
        <w:t>安排消费券津支持</w:t>
      </w:r>
      <w:r>
        <w:rPr>
          <w:rFonts w:hint="eastAsia" w:ascii="仿宋" w:eastAsia="仿宋" w:cs="仿宋"/>
          <w:bCs w:val="0"/>
          <w:sz w:val="32"/>
          <w:szCs w:val="32"/>
        </w:rPr>
        <w:t>开展促销活动。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系统谋划贯穿全年的特色主题消费活动，开展“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春、盛夏、金秋、冰雪”四季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“新12月”主题促销，形成“季季有主题、月月有活动、周周有场景”的促消费矩阵。围绕冰雪、避暑两大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基础优势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，构建以冰雪节、消夏艺术季、清爽露营季、春秋系列文旅活动等重点产品为引领的“推出百项产品、举办千场活动、引入千万游客、激活百亿流量”的活动布局。</w:t>
      </w:r>
      <w:r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  <w:t>壮大会展消费，</w:t>
      </w:r>
      <w:r>
        <w:rPr>
          <w:rFonts w:ascii="仿宋_GB2312" w:eastAsia="仿宋_GB2312" w:cs="仿宋_GB2312"/>
          <w:sz w:val="32"/>
          <w:szCs w:val="32"/>
        </w:rPr>
        <w:t>举办汽博会、家博会等活动，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培育快销型展会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2025年举办各类展会活动100项，交易额超500亿元。</w:t>
      </w:r>
      <w:r>
        <w:rPr>
          <w:rFonts w:hint="eastAsia" w:ascii="楷体" w:hAnsi="仿宋_GB2312" w:eastAsia="楷体" w:cs="楷体"/>
          <w:sz w:val="32"/>
          <w:szCs w:val="32"/>
          <w:highlight w:val="none"/>
        </w:rPr>
        <w:t>（责任单位：市商务局、市文广旅局</w:t>
      </w:r>
      <w:r>
        <w:rPr>
          <w:rFonts w:ascii="楷体" w:hAnsi="仿宋_GB2312" w:eastAsia="楷体" w:cs="楷体"/>
          <w:sz w:val="32"/>
          <w:szCs w:val="32"/>
          <w:highlight w:val="none"/>
        </w:rPr>
        <w:t>、市财政局、市贸促会</w:t>
      </w:r>
      <w:r>
        <w:rPr>
          <w:rFonts w:hint="eastAsia" w:ascii="楷体" w:hAnsi="仿宋_GB2312" w:eastAsia="楷体" w:cs="楷体"/>
          <w:sz w:val="32"/>
          <w:szCs w:val="32"/>
          <w:highlight w:val="none"/>
        </w:rPr>
        <w:t>）</w:t>
      </w:r>
    </w:p>
    <w:p w14:paraId="30E8C6D6">
      <w:pPr>
        <w:spacing w:line="560" w:lineRule="exact"/>
        <w:ind w:firstLine="640" w:firstLineChars="200"/>
        <w:rPr>
          <w:rFonts w:hint="eastAsia" w:ascii="黑体" w:hAnsi="仿宋_GB2312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eastAsia="黑体" w:cs="黑体"/>
          <w:sz w:val="32"/>
          <w:szCs w:val="32"/>
        </w:rPr>
        <w:t>六、消费环境</w:t>
      </w:r>
      <w:r>
        <w:rPr>
          <w:rFonts w:ascii="黑体" w:eastAsia="黑体" w:cs="黑体"/>
          <w:sz w:val="32"/>
          <w:szCs w:val="32"/>
        </w:rPr>
        <w:t>改善</w:t>
      </w:r>
      <w:r>
        <w:rPr>
          <w:rFonts w:hint="eastAsia" w:ascii="黑体" w:eastAsia="黑体" w:cs="黑体"/>
          <w:sz w:val="32"/>
          <w:szCs w:val="32"/>
        </w:rPr>
        <w:t>行动</w:t>
      </w:r>
    </w:p>
    <w:p w14:paraId="43EBCD2E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" w:hAnsi="仿宋_GB2312" w:eastAsia="楷体" w:cs="楷体"/>
          <w:b/>
          <w:color w:val="auto"/>
          <w:sz w:val="32"/>
          <w:szCs w:val="32"/>
          <w:highlight w:val="none"/>
        </w:rPr>
        <w:t>（二十</w:t>
      </w:r>
      <w:r>
        <w:rPr>
          <w:rFonts w:ascii="楷体" w:hAnsi="仿宋_GB2312" w:eastAsia="楷体" w:cs="楷体"/>
          <w:b/>
          <w:color w:val="auto"/>
          <w:sz w:val="32"/>
          <w:szCs w:val="32"/>
          <w:highlight w:val="none"/>
        </w:rPr>
        <w:t>三</w:t>
      </w:r>
      <w:r>
        <w:rPr>
          <w:rFonts w:hint="eastAsia" w:ascii="楷体" w:hAnsi="仿宋_GB2312" w:eastAsia="楷体" w:cs="楷体"/>
          <w:b/>
          <w:color w:val="auto"/>
          <w:sz w:val="32"/>
          <w:szCs w:val="32"/>
          <w:highlight w:val="none"/>
        </w:rPr>
        <w:t>）完善城乡消费设施。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高标准编制</w:t>
      </w:r>
      <w:r>
        <w:rPr>
          <w:rFonts w:ascii="仿宋_GB2312" w:hAnsi="仿宋" w:eastAsia="仿宋_GB2312" w:cs="仿宋_GB2312"/>
          <w:sz w:val="32"/>
          <w:szCs w:val="32"/>
          <w:highlight w:val="none"/>
        </w:rPr>
        <w:t>全市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商业</w:t>
      </w:r>
      <w:r>
        <w:rPr>
          <w:rFonts w:ascii="仿宋_GB2312" w:hAnsi="仿宋" w:eastAsia="仿宋_GB2312" w:cs="仿宋_GB2312"/>
          <w:sz w:val="32"/>
          <w:szCs w:val="32"/>
          <w:highlight w:val="none"/>
          <w:lang w:eastAsia="zh-CN"/>
        </w:rPr>
        <w:t>网点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空间布局</w:t>
      </w:r>
      <w:r>
        <w:rPr>
          <w:rFonts w:ascii="仿宋_GB2312" w:hAnsi="仿宋" w:eastAsia="仿宋_GB2312" w:cs="仿宋_GB2312"/>
          <w:sz w:val="32"/>
          <w:szCs w:val="32"/>
          <w:highlight w:val="none"/>
          <w:lang w:eastAsia="zh-CN"/>
        </w:rPr>
        <w:t>专项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规划，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争取</w:t>
      </w:r>
      <w:r>
        <w:rPr>
          <w:rFonts w:ascii="仿宋_GB2312" w:eastAsia="仿宋_GB2312" w:cs="仿宋_GB2312"/>
          <w:sz w:val="32"/>
          <w:szCs w:val="32"/>
          <w:highlight w:val="none"/>
        </w:rPr>
        <w:t>现代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商贸流通体系、零售业创新提升和汽车流通消费改革三项国家级试点</w:t>
      </w:r>
      <w:r>
        <w:rPr>
          <w:rFonts w:ascii="仿宋_GB2312" w:eastAsia="仿宋_GB2312" w:cs="仿宋_GB2312"/>
          <w:sz w:val="32"/>
          <w:szCs w:val="32"/>
          <w:highlight w:val="none"/>
        </w:rPr>
        <w:t>。优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  <w:t>化农产品批发市场布局</w:t>
      </w:r>
      <w:r>
        <w:rPr>
          <w:rFonts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  <w:t>深化城市精细化管理，</w:t>
      </w:r>
      <w:r>
        <w:rPr>
          <w:rFonts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  <w:t>实施农贸市场提升改造三年行动计划，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  <w:t>2025年提升改造农贸市场30家以上。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推动社区商业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发展，2025年打造80个城市一刻钟便民生活圈。</w:t>
      </w:r>
      <w:r>
        <w:rPr>
          <w:rFonts w:hint="eastAsia" w:ascii="仿宋" w:eastAsia="仿宋" w:cs="仿宋"/>
          <w:sz w:val="32"/>
          <w:szCs w:val="32"/>
        </w:rPr>
        <w:t>加强县级寄递物流配送中心建设，打造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200个</w:t>
      </w:r>
      <w:r>
        <w:rPr>
          <w:rFonts w:hint="eastAsia" w:ascii="仿宋" w:eastAsia="仿宋" w:cs="仿宋"/>
          <w:sz w:val="32"/>
          <w:szCs w:val="32"/>
        </w:rPr>
        <w:t>“一点多能、一站多用”的村级寄递物流综合服务站。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  <w:t>深入实施</w:t>
      </w:r>
      <w:r>
        <w:rPr>
          <w:rFonts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  <w:t>县域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  <w:t>商业建设行动，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bidi="ar-SA"/>
        </w:rPr>
        <w:t>2025年支持30个县域商业项目建设。</w:t>
      </w:r>
      <w:r>
        <w:rPr>
          <w:rFonts w:hint="eastAsia" w:ascii="楷体" w:eastAsia="楷体" w:cs="楷体"/>
          <w:sz w:val="32"/>
          <w:szCs w:val="32"/>
        </w:rPr>
        <w:t>（责任单位：</w:t>
      </w:r>
      <w:r>
        <w:rPr>
          <w:rFonts w:hint="eastAsia" w:ascii="楷体" w:hAnsi="仿宋_GB2312" w:eastAsia="楷体" w:cs="楷体"/>
          <w:sz w:val="32"/>
          <w:szCs w:val="32"/>
          <w:highlight w:val="none"/>
        </w:rPr>
        <w:t>市商务局、</w:t>
      </w:r>
      <w:r>
        <w:rPr>
          <w:rFonts w:ascii="楷体" w:eastAsia="楷体" w:cs="楷体"/>
          <w:sz w:val="32"/>
          <w:szCs w:val="32"/>
        </w:rPr>
        <w:t>市邮政管理局</w:t>
      </w:r>
      <w:r>
        <w:rPr>
          <w:rFonts w:hint="eastAsia" w:ascii="楷体" w:eastAsia="楷体" w:cs="楷体"/>
          <w:sz w:val="32"/>
          <w:szCs w:val="32"/>
        </w:rPr>
        <w:t>）</w:t>
      </w:r>
    </w:p>
    <w:p w14:paraId="245DE664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" w:hAnsi="仿宋_GB2312" w:eastAsia="楷体" w:cs="楷体"/>
          <w:b/>
          <w:color w:val="auto"/>
          <w:sz w:val="32"/>
          <w:szCs w:val="32"/>
          <w:highlight w:val="none"/>
        </w:rPr>
        <w:t>（二十</w:t>
      </w:r>
      <w:r>
        <w:rPr>
          <w:rFonts w:ascii="楷体" w:hAnsi="仿宋_GB2312" w:eastAsia="楷体" w:cs="楷体"/>
          <w:b/>
          <w:color w:val="auto"/>
          <w:sz w:val="32"/>
          <w:szCs w:val="32"/>
          <w:highlight w:val="none"/>
        </w:rPr>
        <w:t>四</w:t>
      </w:r>
      <w:r>
        <w:rPr>
          <w:rFonts w:hint="eastAsia" w:ascii="楷体" w:hAnsi="仿宋_GB2312" w:eastAsia="楷体" w:cs="楷体"/>
          <w:b/>
          <w:color w:val="auto"/>
          <w:sz w:val="32"/>
          <w:szCs w:val="32"/>
          <w:highlight w:val="none"/>
        </w:rPr>
        <w:t>）保障休息休假权益。</w:t>
      </w:r>
      <w:r>
        <w:rPr>
          <w:rFonts w:hint="eastAsia" w:ascii="仿宋" w:eastAsia="仿宋" w:cs="仿宋"/>
          <w:bCs w:val="0"/>
          <w:sz w:val="32"/>
          <w:szCs w:val="32"/>
        </w:rPr>
        <w:t>严格落实带薪年休假制度，鼓励引导用人单位根据工作需要和职工休假意愿，采取带薪休假与传统节假日、我省季节性特色活动相结合等方式，为职工休闲度假创造条件。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依法保障劳动者休息休假权益，应休未休的年休假依法支付工资报酬，不得违法延长劳动者工作时间。健全职工疗休养制度，稳步扩大职工疗休养范围和规模，组织市级先进典型疗休养示范活动，引导各级工会加大自主开展疗休养活动力度。</w:t>
      </w:r>
      <w:r>
        <w:rPr>
          <w:rFonts w:hint="eastAsia" w:ascii="楷体" w:eastAsia="楷体" w:cs="楷体"/>
          <w:sz w:val="32"/>
          <w:szCs w:val="32"/>
        </w:rPr>
        <w:t>（责任单位：市人社局</w:t>
      </w:r>
      <w:r>
        <w:rPr>
          <w:rFonts w:ascii="楷体" w:eastAsia="楷体" w:cs="楷体"/>
          <w:sz w:val="32"/>
          <w:szCs w:val="32"/>
        </w:rPr>
        <w:t>、市总工会</w:t>
      </w:r>
      <w:r>
        <w:rPr>
          <w:rFonts w:hint="eastAsia" w:ascii="楷体" w:eastAsia="楷体" w:cs="楷体"/>
          <w:sz w:val="32"/>
          <w:szCs w:val="32"/>
        </w:rPr>
        <w:t>）</w:t>
      </w:r>
    </w:p>
    <w:p w14:paraId="55D0B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hint="eastAsia" w:ascii="仿宋" w:eastAsia="仿宋" w:cs="仿宋"/>
          <w:sz w:val="32"/>
          <w:szCs w:val="32"/>
          <w:highlight w:val="none"/>
        </w:rPr>
      </w:pPr>
      <w:r>
        <w:rPr>
          <w:rFonts w:hint="eastAsia" w:ascii="楷体" w:hAnsi="仿宋_GB2312" w:eastAsia="楷体" w:cs="楷体"/>
          <w:b/>
          <w:color w:val="auto"/>
          <w:sz w:val="32"/>
          <w:szCs w:val="32"/>
          <w:highlight w:val="none"/>
        </w:rPr>
        <w:t>（二十</w:t>
      </w:r>
      <w:r>
        <w:rPr>
          <w:rFonts w:ascii="楷体" w:hAnsi="仿宋_GB2312" w:eastAsia="楷体" w:cs="楷体"/>
          <w:b/>
          <w:color w:val="auto"/>
          <w:sz w:val="32"/>
          <w:szCs w:val="32"/>
          <w:highlight w:val="none"/>
        </w:rPr>
        <w:t>五</w:t>
      </w:r>
      <w:r>
        <w:rPr>
          <w:rFonts w:hint="eastAsia" w:ascii="楷体" w:hAnsi="仿宋_GB2312" w:eastAsia="楷体" w:cs="楷体"/>
          <w:b/>
          <w:color w:val="auto"/>
          <w:sz w:val="32"/>
          <w:szCs w:val="32"/>
          <w:highlight w:val="none"/>
        </w:rPr>
        <w:t>）</w:t>
      </w:r>
      <w:r>
        <w:rPr>
          <w:rFonts w:hint="eastAsia" w:ascii="楷体" w:hAnsi="仿宋_GB2312" w:eastAsia="楷体" w:cs="楷体"/>
          <w:b/>
          <w:sz w:val="32"/>
          <w:szCs w:val="32"/>
        </w:rPr>
        <w:t>持续优化</w:t>
      </w:r>
      <w:r>
        <w:rPr>
          <w:rFonts w:ascii="楷体" w:hAnsi="仿宋_GB2312" w:eastAsia="楷体" w:cs="楷体"/>
          <w:b/>
          <w:sz w:val="32"/>
          <w:szCs w:val="32"/>
        </w:rPr>
        <w:t>消费</w:t>
      </w:r>
      <w:r>
        <w:rPr>
          <w:rFonts w:hint="eastAsia" w:ascii="楷体" w:hAnsi="仿宋_GB2312" w:eastAsia="楷体" w:cs="楷体"/>
          <w:b/>
          <w:sz w:val="32"/>
          <w:szCs w:val="32"/>
        </w:rPr>
        <w:t>环境。</w:t>
      </w:r>
      <w:r>
        <w:rPr>
          <w:rFonts w:hint="eastAsia" w:ascii="仿宋" w:hAnsi="仿宋_GB2312" w:eastAsia="仿宋" w:cs="仿宋"/>
          <w:sz w:val="32"/>
          <w:szCs w:val="32"/>
          <w:highlight w:val="none"/>
        </w:rPr>
        <w:t>完善质量标准、信用约束、综合治理、消费维权等制度</w:t>
      </w:r>
      <w:r>
        <w:rPr>
          <w:rFonts w:hint="eastAsia" w:ascii="仿宋" w:eastAsia="仿宋" w:cs="仿宋"/>
          <w:bCs w:val="0"/>
          <w:sz w:val="32"/>
          <w:szCs w:val="32"/>
        </w:rPr>
        <w:t>。建立12315消费者申诉数据分析专报制度。开展网络市场专项执法行动，严厉查处违法违规行为。强化平台销售价格监管，严厉打击不按规定明码标价、价格欺诈等违法行为。聚焦人参等吉林特色资源产品，严厉打击假冒伪劣等突出问题。依托一体化行政检查智能备案管理系统，针对行政执法部门对大众消费场所实施重复检查、高频检查行为作出警示提醒。</w:t>
      </w:r>
      <w:r>
        <w:rPr>
          <w:rFonts w:ascii="仿宋_GB2312" w:hAnsi="仿宋_GB2312" w:eastAsia="仿宋_GB2312" w:cs="仿宋_GB2312"/>
          <w:sz w:val="32"/>
          <w:szCs w:val="32"/>
        </w:rPr>
        <w:t>支持大型商贸企业利用自有场地进行外摆促销，支持符合条件的临街商铺开展外摆经营。对促销活动、社区集市、户外展示、招牌实施设置等简化审批流程，试行线上即报即办。</w:t>
      </w:r>
      <w:r>
        <w:rPr>
          <w:rFonts w:hint="eastAsia" w:ascii="楷体" w:eastAsia="楷体" w:cs="楷体"/>
          <w:sz w:val="32"/>
          <w:szCs w:val="32"/>
        </w:rPr>
        <w:t>（责任单位：市市场监管局</w:t>
      </w:r>
      <w:r>
        <w:rPr>
          <w:rFonts w:ascii="楷体" w:eastAsia="楷体" w:cs="楷体"/>
          <w:sz w:val="32"/>
          <w:szCs w:val="32"/>
        </w:rPr>
        <w:t>、市城管局、市政数局</w:t>
      </w:r>
      <w:r>
        <w:rPr>
          <w:rFonts w:hint="eastAsia" w:ascii="楷体" w:eastAsia="楷体" w:cs="楷体"/>
          <w:sz w:val="32"/>
          <w:szCs w:val="32"/>
        </w:rPr>
        <w:t>）</w:t>
      </w:r>
    </w:p>
    <w:p w14:paraId="02E9614C">
      <w:pPr>
        <w:spacing w:line="560" w:lineRule="exact"/>
        <w:ind w:firstLine="640" w:firstLineChars="200"/>
        <w:rPr>
          <w:rFonts w:hint="eastAsia" w:ascii="黑体" w:hAnsi="仿宋_GB2312" w:eastAsia="黑体" w:cs="黑体"/>
          <w:color w:val="auto"/>
          <w:sz w:val="32"/>
          <w:szCs w:val="32"/>
          <w:highlight w:val="none"/>
        </w:rPr>
      </w:pPr>
      <w:r>
        <w:rPr>
          <w:rFonts w:ascii="黑体" w:hAnsi="仿宋_GB2312" w:eastAsia="黑体" w:cs="黑体"/>
          <w:color w:val="auto"/>
          <w:sz w:val="32"/>
          <w:szCs w:val="32"/>
          <w:highlight w:val="none"/>
        </w:rPr>
        <w:t>七</w:t>
      </w:r>
      <w:r>
        <w:rPr>
          <w:rFonts w:hint="eastAsia" w:ascii="黑体" w:hAnsi="仿宋_GB2312" w:eastAsia="黑体" w:cs="黑体"/>
          <w:color w:val="auto"/>
          <w:sz w:val="32"/>
          <w:szCs w:val="32"/>
          <w:highlight w:val="none"/>
        </w:rPr>
        <w:t>、保障措施</w:t>
      </w:r>
    </w:p>
    <w:p w14:paraId="400EB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spacing w:line="560" w:lineRule="exact"/>
        <w:ind w:left="0" w:firstLine="643" w:firstLineChars="200"/>
        <w:rPr>
          <w:rFonts w:hint="eastAsia" w:ascii="楷体" w:hAnsi="楷体" w:eastAsia="楷体" w:cs="楷体"/>
          <w:b/>
          <w:sz w:val="32"/>
          <w:szCs w:val="32"/>
          <w:highlight w:val="yellow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（二十</w:t>
      </w:r>
      <w:r>
        <w:rPr>
          <w:rFonts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）加强</w:t>
      </w:r>
      <w:r>
        <w:rPr>
          <w:rFonts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财政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金融支持</w:t>
      </w:r>
      <w:r>
        <w:rPr>
          <w:rFonts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加强财政资金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安排专项资金保障全市提振消费各项工作顺利实施。运用财政补贴、贷款贴息等政策工具，突出重点、精准施测，将促消费同惠民生、补短板结合起来。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强化对消费领域的金融供给，</w:t>
      </w:r>
      <w:r>
        <w:rPr>
          <w:rFonts w:ascii="仿宋_GB2312" w:hAnsi="仿宋_GB2312" w:eastAsia="仿宋_GB2312" w:cs="仿宋_GB2312"/>
          <w:sz w:val="32"/>
          <w:szCs w:val="32"/>
          <w:lang w:val="en-US"/>
        </w:rPr>
        <w:t>鼓励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金融机构创新消费</w:t>
      </w:r>
      <w:r>
        <w:rPr>
          <w:rFonts w:ascii="仿宋_GB2312" w:hAnsi="仿宋_GB2312" w:eastAsia="仿宋_GB2312" w:cs="仿宋_GB2312"/>
          <w:sz w:val="32"/>
          <w:szCs w:val="32"/>
          <w:lang w:val="en-US"/>
        </w:rPr>
        <w:t>信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贷产品，开展线上、线下相结合的金融促消费活动，发挥金融活水作用。</w:t>
      </w:r>
      <w:r>
        <w:rPr>
          <w:rFonts w:hint="eastAsia" w:ascii="楷体" w:hAnsi="仿宋_GB2312" w:eastAsia="楷体" w:cs="楷体"/>
          <w:sz w:val="32"/>
          <w:szCs w:val="32"/>
          <w:lang w:eastAsia="zh-CN" w:bidi="ar-SA"/>
        </w:rPr>
        <w:t>（责任单位：</w:t>
      </w:r>
      <w:r>
        <w:rPr>
          <w:rFonts w:ascii="楷体" w:hAnsi="仿宋_GB2312" w:eastAsia="楷体" w:cs="楷体"/>
          <w:sz w:val="32"/>
          <w:szCs w:val="32"/>
          <w:lang w:eastAsia="zh-CN" w:bidi="ar-SA"/>
        </w:rPr>
        <w:t>市财政局、</w:t>
      </w:r>
      <w:r>
        <w:rPr>
          <w:rFonts w:hint="eastAsia" w:ascii="楷体" w:hAnsi="仿宋_GB2312" w:eastAsia="楷体" w:cs="楷体"/>
          <w:sz w:val="32"/>
          <w:szCs w:val="32"/>
          <w:lang w:eastAsia="zh-CN" w:bidi="ar-SA"/>
        </w:rPr>
        <w:t>市委金融办）</w:t>
      </w:r>
    </w:p>
    <w:p w14:paraId="3046E80B">
      <w:pPr>
        <w:pStyle w:val="5"/>
        <w:spacing w:line="560" w:lineRule="exact"/>
        <w:ind w:left="0" w:firstLine="643" w:firstLineChars="200"/>
        <w:rPr>
          <w:rFonts w:hint="eastAsia" w:ascii="楷体" w:hAnsi="仿宋_GB2312" w:eastAsia="楷体" w:cs="楷体"/>
          <w:b/>
          <w:sz w:val="32"/>
          <w:szCs w:val="32"/>
        </w:rPr>
      </w:pPr>
      <w:r>
        <w:rPr>
          <w:rFonts w:hint="eastAsia" w:ascii="楷体" w:hAnsi="仿宋_GB2312" w:eastAsia="楷体" w:cs="楷体"/>
          <w:b/>
          <w:bCs/>
          <w:sz w:val="32"/>
          <w:szCs w:val="32"/>
          <w:lang w:val="en-US" w:eastAsia="zh-CN"/>
        </w:rPr>
        <w:t>（二十</w:t>
      </w:r>
      <w:r>
        <w:rPr>
          <w:rFonts w:ascii="楷体" w:hAnsi="仿宋_GB2312" w:eastAsia="楷体" w:cs="楷体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楷体" w:hAnsi="仿宋_GB2312" w:eastAsia="楷体" w:cs="楷体"/>
          <w:b/>
          <w:bCs/>
          <w:sz w:val="32"/>
          <w:szCs w:val="32"/>
          <w:lang w:val="en-US" w:eastAsia="zh-CN"/>
        </w:rPr>
        <w:t>）加大宣传引导力度</w:t>
      </w:r>
      <w:r>
        <w:rPr>
          <w:rFonts w:ascii="楷体" w:hAnsi="仿宋_GB2312" w:eastAsia="楷体" w:cs="楷体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运用全媒体手段，协调各级媒体资源，加大对我市各类消费政策、消费活动、节庆展会等宣传力度，营造良好舆论氛围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讲好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长春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故事，创新城市营销方式，吸引更多人了解长春、向往长春、爱上长春。</w:t>
      </w:r>
      <w:r>
        <w:rPr>
          <w:rFonts w:hint="eastAsia" w:ascii="楷体" w:hAnsi="仿宋_GB2312" w:eastAsia="楷体" w:cs="楷体"/>
          <w:sz w:val="32"/>
          <w:szCs w:val="32"/>
          <w:lang w:eastAsia="zh-CN"/>
        </w:rPr>
        <w:t>（责任单位：市委宣传部）</w:t>
      </w:r>
    </w:p>
    <w:p w14:paraId="7AD76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spacing w:line="560" w:lineRule="exact"/>
        <w:ind w:firstLine="643" w:firstLineChars="200"/>
        <w:rPr>
          <w:rFonts w:asci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仿宋_GB2312" w:eastAsia="楷体" w:cs="楷体"/>
          <w:b/>
          <w:bCs/>
          <w:sz w:val="32"/>
          <w:szCs w:val="32"/>
          <w:highlight w:val="none"/>
          <w:lang w:val="en-US" w:eastAsia="zh-CN"/>
        </w:rPr>
        <w:t>（</w:t>
      </w:r>
      <w:r>
        <w:rPr>
          <w:rFonts w:ascii="楷体" w:hAnsi="仿宋_GB2312" w:eastAsia="楷体" w:cs="楷体"/>
          <w:b/>
          <w:bCs/>
          <w:sz w:val="32"/>
          <w:szCs w:val="32"/>
          <w:highlight w:val="none"/>
          <w:lang w:val="en-US" w:eastAsia="zh-CN"/>
        </w:rPr>
        <w:t>二十八</w:t>
      </w:r>
      <w:r>
        <w:rPr>
          <w:rFonts w:hint="eastAsia" w:ascii="楷体" w:hAnsi="仿宋_GB2312" w:eastAsia="楷体" w:cs="楷体"/>
          <w:b/>
          <w:bCs/>
          <w:sz w:val="32"/>
          <w:szCs w:val="32"/>
          <w:highlight w:val="none"/>
          <w:lang w:val="en-US" w:eastAsia="zh-CN"/>
        </w:rPr>
        <w:t>）</w:t>
      </w:r>
      <w:r>
        <w:rPr>
          <w:rFonts w:ascii="楷体" w:hAnsi="仿宋_GB2312" w:eastAsia="楷体" w:cs="楷体"/>
          <w:b/>
          <w:bCs/>
          <w:sz w:val="32"/>
          <w:szCs w:val="32"/>
          <w:highlight w:val="none"/>
          <w:lang w:val="en-US" w:eastAsia="zh-CN"/>
        </w:rPr>
        <w:t>完善配套保障措施</w:t>
      </w:r>
      <w:r>
        <w:rPr>
          <w:rFonts w:hint="eastAsia" w:ascii="楷体" w:hAnsi="仿宋_GB2312" w:eastAsia="楷体" w:cs="楷体"/>
          <w:b/>
          <w:bCs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" w:hAnsi="仿宋_GB2312" w:eastAsia="仿宋" w:cs="仿宋_GB2312"/>
          <w:sz w:val="32"/>
          <w:szCs w:val="32"/>
          <w:highlight w:val="none"/>
          <w:lang w:val="en-US"/>
        </w:rPr>
        <w:t>鼓励各级工会</w:t>
      </w:r>
      <w:r>
        <w:rPr>
          <w:rFonts w:ascii="仿宋" w:hAnsi="仿宋_GB2312" w:eastAsia="仿宋" w:cs="仿宋_GB2312"/>
          <w:sz w:val="32"/>
          <w:szCs w:val="32"/>
          <w:highlight w:val="none"/>
          <w:lang w:val="en-US"/>
        </w:rPr>
        <w:t>将经费用于节日慰问品、职工健身、文化体育等消费领域。</w:t>
      </w:r>
      <w:r>
        <w:rPr>
          <w:rFonts w:hint="eastAsia" w:ascii="仿宋" w:hAnsi="仿宋_GB2312" w:eastAsia="仿宋" w:cs="仿宋_GB2312"/>
          <w:sz w:val="32"/>
          <w:szCs w:val="32"/>
          <w:highlight w:val="none"/>
          <w:lang w:val="en-US" w:eastAsia="zh-CN"/>
        </w:rPr>
        <w:t>探索开展有奖发票活动。探索</w:t>
      </w:r>
      <w:r>
        <w:rPr>
          <w:rFonts w:ascii="仿宋" w:hAnsi="仿宋_GB2312" w:eastAsia="仿宋" w:cs="仿宋_GB2312"/>
          <w:sz w:val="32"/>
          <w:szCs w:val="32"/>
          <w:highlight w:val="none"/>
          <w:lang w:val="en-US"/>
        </w:rPr>
        <w:t>完善全口径消费统计，健全服务消费、消费新业态模式统计监测。</w:t>
      </w:r>
      <w:r>
        <w:rPr>
          <w:rFonts w:hint="eastAsia" w:ascii="楷体" w:eastAsia="楷体" w:cs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eastAsia="楷体" w:cs="楷体"/>
          <w:sz w:val="32"/>
          <w:szCs w:val="32"/>
        </w:rPr>
        <w:t>责任单位：</w:t>
      </w:r>
      <w:r>
        <w:rPr>
          <w:rFonts w:ascii="楷体" w:eastAsia="楷体" w:cs="楷体"/>
          <w:sz w:val="32"/>
          <w:szCs w:val="32"/>
        </w:rPr>
        <w:t>市总工会、</w:t>
      </w:r>
      <w:r>
        <w:rPr>
          <w:rFonts w:hint="eastAsia" w:ascii="楷体" w:eastAsia="楷体" w:cs="楷体"/>
          <w:sz w:val="32"/>
          <w:szCs w:val="32"/>
          <w:lang w:eastAsia="zh-CN"/>
        </w:rPr>
        <w:t>市税务局、</w:t>
      </w:r>
      <w:r>
        <w:rPr>
          <w:rFonts w:hint="eastAsia" w:ascii="楷体" w:eastAsia="楷体" w:cs="楷体"/>
          <w:sz w:val="32"/>
          <w:szCs w:val="32"/>
          <w:highlight w:val="none"/>
          <w:lang w:eastAsia="zh-CN"/>
        </w:rPr>
        <w:t>市统计局、市商务局、市财政局、市政数局）</w:t>
      </w:r>
    </w:p>
    <w:p w14:paraId="55FB4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spacing w:line="560" w:lineRule="exact"/>
        <w:ind w:firstLine="640" w:firstLineChars="200"/>
        <w:rPr>
          <w:rFonts w:ascii="仿宋" w:hAnsi="仿宋_GB2312" w:eastAsia="仿宋" w:cs="仿宋_GB2312"/>
          <w:sz w:val="32"/>
          <w:szCs w:val="32"/>
          <w:highlight w:val="none"/>
          <w:lang w:eastAsia="zh-CN"/>
        </w:rPr>
      </w:pPr>
      <w:r>
        <w:rPr>
          <w:rFonts w:ascii="仿宋" w:hAnsi="仿宋_GB2312" w:eastAsia="仿宋" w:cs="仿宋_GB2312"/>
          <w:sz w:val="32"/>
          <w:szCs w:val="32"/>
          <w:highlight w:val="none"/>
          <w:lang w:eastAsia="zh-CN"/>
        </w:rPr>
        <w:t>各地区各部门要把提振消费摆到更加突出位置，</w:t>
      </w:r>
      <w:r>
        <w:rPr>
          <w:rFonts w:ascii="仿宋_GB2312" w:eastAsia="仿宋_GB2312" w:cs="仿宋_GB2312"/>
          <w:sz w:val="32"/>
          <w:szCs w:val="32"/>
          <w:lang w:bidi="ar-SA"/>
        </w:rPr>
        <w:t>加强协同联动，完善工作机制，加大政策创新支持力度。各地要落实主体责任，因地制宜探索务实举措，</w:t>
      </w:r>
      <w:r>
        <w:rPr>
          <w:rFonts w:ascii="仿宋" w:hAnsi="仿宋_GB2312" w:eastAsia="仿宋" w:cs="仿宋_GB2312"/>
          <w:sz w:val="32"/>
          <w:szCs w:val="32"/>
          <w:highlight w:val="none"/>
          <w:lang w:eastAsia="zh-CN"/>
        </w:rPr>
        <w:t>扎实推动各项政策措施更快更好落地见效。</w:t>
      </w:r>
    </w:p>
    <w:p w14:paraId="75F0B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spacing w:line="560" w:lineRule="exact"/>
        <w:ind w:firstLine="640" w:firstLineChars="200"/>
        <w:rPr>
          <w:rFonts w:hint="eastAsia" w:ascii="仿宋" w:hAnsi="仿宋_GB2312" w:eastAsia="仿宋" w:cs="仿宋_GB2312"/>
          <w:sz w:val="32"/>
          <w:szCs w:val="32"/>
        </w:rPr>
      </w:pPr>
      <w:r>
        <w:rPr>
          <w:rFonts w:ascii="仿宋" w:hAnsi="仿宋_GB2312" w:eastAsia="仿宋" w:cs="仿宋_GB2312"/>
          <w:sz w:val="32"/>
          <w:szCs w:val="32"/>
          <w:highlight w:val="none"/>
          <w:lang w:eastAsia="zh-CN"/>
        </w:rPr>
        <w:t>本文件自公布之日起施行。</w:t>
      </w: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cida Sans">
    <w:altName w:val="DejaVu Sans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兰亭黑_GBK">
    <w:panose1 w:val="02000000000000000000"/>
    <w:charset w:val="86"/>
    <w:family w:val="script"/>
    <w:pitch w:val="default"/>
    <w:sig w:usb0="A00002BF" w:usb1="3ACF7CFA" w:usb2="0008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E7CD1">
    <w:pPr>
      <w:pStyle w:val="8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6"/>
      </w:rPr>
      <w:fldChar w:fldCharType="begin"/>
    </w:r>
    <w:r>
      <w:rPr>
        <w:rStyle w:val="16"/>
      </w:rPr>
      <w:instrText xml:space="preserve">Page</w:instrText>
    </w:r>
    <w:r>
      <w:rPr>
        <w:rStyle w:val="16"/>
      </w:rPr>
      <w:fldChar w:fldCharType="separate"/>
    </w:r>
    <w:r>
      <w:rPr>
        <w:rStyle w:val="16"/>
      </w:rPr>
      <w:t>1</w:t>
    </w:r>
    <w:r>
      <w:rPr>
        <w:rStyle w:val="16"/>
      </w:rPr>
      <w:fldChar w:fldCharType="end"/>
    </w:r>
  </w:p>
  <w:p w14:paraId="02532CC8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D0A68">
    <w:pPr>
      <w:pStyle w:val="8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6"/>
      </w:rPr>
      <w:fldChar w:fldCharType="begin"/>
    </w:r>
    <w:r>
      <w:rPr>
        <w:rStyle w:val="16"/>
      </w:rPr>
      <w:instrText xml:space="preserve">Page</w:instrText>
    </w:r>
    <w:r>
      <w:rPr>
        <w:rStyle w:val="16"/>
      </w:rPr>
      <w:fldChar w:fldCharType="separate"/>
    </w:r>
    <w:r>
      <w:rPr>
        <w:rStyle w:val="16"/>
      </w:rPr>
      <w:t>1</w:t>
    </w:r>
    <w:r>
      <w:rPr>
        <w:rStyle w:val="16"/>
      </w:rPr>
      <w:fldChar w:fldCharType="end"/>
    </w:r>
  </w:p>
  <w:p w14:paraId="13761968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873FFB">
    <w:pPr>
      <w:pStyle w:val="8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6"/>
      </w:rPr>
      <w:fldChar w:fldCharType="begin"/>
    </w:r>
    <w:r>
      <w:rPr>
        <w:rStyle w:val="16"/>
      </w:rPr>
      <w:instrText xml:space="preserve">Page</w:instrText>
    </w:r>
    <w:r>
      <w:rPr>
        <w:rStyle w:val="16"/>
      </w:rPr>
      <w:fldChar w:fldCharType="separate"/>
    </w:r>
    <w:r>
      <w:rPr>
        <w:rStyle w:val="16"/>
      </w:rPr>
      <w:t>1</w:t>
    </w:r>
    <w:r>
      <w:rPr>
        <w:rStyle w:val="16"/>
      </w:rPr>
      <w:fldChar w:fldCharType="end"/>
    </w:r>
  </w:p>
  <w:p w14:paraId="0CC8C40D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0AF4A220"/>
    <w:rsid w:val="0DEF4116"/>
    <w:rsid w:val="0F7BEF72"/>
    <w:rsid w:val="0FFAE9C3"/>
    <w:rsid w:val="297A84B9"/>
    <w:rsid w:val="2FDBB11E"/>
    <w:rsid w:val="36FBF6EA"/>
    <w:rsid w:val="3DF76A4F"/>
    <w:rsid w:val="3DF9EB40"/>
    <w:rsid w:val="3DFBFE82"/>
    <w:rsid w:val="3EFEE319"/>
    <w:rsid w:val="3FFE6388"/>
    <w:rsid w:val="4576FE05"/>
    <w:rsid w:val="475AA11F"/>
    <w:rsid w:val="4B7EBAE7"/>
    <w:rsid w:val="4EF9EA9B"/>
    <w:rsid w:val="4FEF9DFA"/>
    <w:rsid w:val="575F3670"/>
    <w:rsid w:val="5DBDCABD"/>
    <w:rsid w:val="5FE3F90B"/>
    <w:rsid w:val="67B7ABB2"/>
    <w:rsid w:val="6AF7634E"/>
    <w:rsid w:val="6BF2EB26"/>
    <w:rsid w:val="6FEEC28D"/>
    <w:rsid w:val="6FFD9EBB"/>
    <w:rsid w:val="6FFF283E"/>
    <w:rsid w:val="71FF6A70"/>
    <w:rsid w:val="77FD51F4"/>
    <w:rsid w:val="7BFB81F0"/>
    <w:rsid w:val="7D2E21E4"/>
    <w:rsid w:val="7DB94214"/>
    <w:rsid w:val="7DDF2048"/>
    <w:rsid w:val="7DFE211B"/>
    <w:rsid w:val="7DFE5806"/>
    <w:rsid w:val="7EBDCD94"/>
    <w:rsid w:val="7F7B5F1A"/>
    <w:rsid w:val="7F7B9186"/>
    <w:rsid w:val="7FCF3FF1"/>
    <w:rsid w:val="7FFD36D6"/>
    <w:rsid w:val="7FFDAEE0"/>
    <w:rsid w:val="86FF1786"/>
    <w:rsid w:val="8BA8C323"/>
    <w:rsid w:val="9B7DC889"/>
    <w:rsid w:val="A9FC79B6"/>
    <w:rsid w:val="B6FFE148"/>
    <w:rsid w:val="B9B685A7"/>
    <w:rsid w:val="BDF41FE5"/>
    <w:rsid w:val="CF7F9613"/>
    <w:rsid w:val="CFD557A7"/>
    <w:rsid w:val="D7FF5F7D"/>
    <w:rsid w:val="D8BACD15"/>
    <w:rsid w:val="EBE56B5C"/>
    <w:rsid w:val="EF5E752F"/>
    <w:rsid w:val="EFCF0D75"/>
    <w:rsid w:val="EFFC4679"/>
    <w:rsid w:val="F37B1D67"/>
    <w:rsid w:val="F3FF4A5E"/>
    <w:rsid w:val="F677ECAA"/>
    <w:rsid w:val="F6E73679"/>
    <w:rsid w:val="F7032143"/>
    <w:rsid w:val="F7EEC2AF"/>
    <w:rsid w:val="F7FDF048"/>
    <w:rsid w:val="FA78D2E5"/>
    <w:rsid w:val="FB77FBC7"/>
    <w:rsid w:val="FB7D763F"/>
    <w:rsid w:val="FBEBEE03"/>
    <w:rsid w:val="FBFA4C67"/>
    <w:rsid w:val="FF7D2CC0"/>
    <w:rsid w:val="FF7F70AB"/>
    <w:rsid w:val="FFD39B56"/>
    <w:rsid w:val="FFFF2F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  <w:szCs w:val="32"/>
    </w:rPr>
  </w:style>
  <w:style w:type="character" w:default="1" w:styleId="14">
    <w:name w:val="Default Paragraph Font"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widowControl w:val="0"/>
      <w:spacing w:line="240" w:lineRule="auto"/>
      <w:ind w:firstLine="4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6">
    <w:name w:val="Body Text"/>
    <w:basedOn w:val="1"/>
    <w:next w:val="7"/>
    <w:qFormat/>
    <w:uiPriority w:val="0"/>
    <w:pPr>
      <w:widowControl w:val="0"/>
      <w:spacing w:line="240" w:lineRule="auto"/>
      <w:ind w:left="122"/>
      <w:jc w:val="both"/>
    </w:pPr>
    <w:rPr>
      <w:rFonts w:ascii="仿宋_GB2312" w:hAnsi="仿宋_GB2312" w:eastAsia="仿宋_GB2312" w:cs="仿宋_GB2312"/>
      <w:kern w:val="2"/>
      <w:sz w:val="32"/>
      <w:szCs w:val="32"/>
      <w:lang w:val="zh-CN" w:eastAsia="zh-CN" w:bidi="zh-CN"/>
    </w:rPr>
  </w:style>
  <w:style w:type="paragraph" w:customStyle="1" w:styleId="7">
    <w:name w:val="样式1"/>
    <w:basedOn w:val="1"/>
    <w:qFormat/>
    <w:uiPriority w:val="0"/>
    <w:rPr>
      <w:b/>
      <w:color w:val="538135"/>
      <w:sz w:val="2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autoRedefine/>
    <w:qFormat/>
    <w:uiPriority w:val="0"/>
    <w:pPr>
      <w:widowControl w:val="0"/>
      <w:spacing w:line="240" w:lineRule="auto"/>
      <w:ind w:left="200" w:leftChars="200"/>
      <w:jc w:val="both"/>
    </w:pPr>
    <w:rPr>
      <w:rFonts w:ascii="Times New Roman" w:hAnsi="Times New Roman" w:eastAsia="宋体" w:cs="Lucida Sans"/>
      <w:kern w:val="2"/>
      <w:sz w:val="21"/>
      <w:szCs w:val="20"/>
      <w:lang w:val="en-US" w:eastAsia="zh-CN" w:bidi="ar-SA"/>
    </w:rPr>
  </w:style>
  <w:style w:type="paragraph" w:styleId="11">
    <w:name w:val="Normal (Web)"/>
    <w:basedOn w:val="1"/>
    <w:next w:val="7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hAnsi="Calibri" w:eastAsia="宋体" w:cs="Arial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 w:bidi="ar-SA"/>
    </w:rPr>
  </w:style>
  <w:style w:type="paragraph" w:styleId="12">
    <w:name w:val="Body Text First Indent 2"/>
    <w:basedOn w:val="1"/>
    <w:next w:val="10"/>
    <w:qFormat/>
    <w:uiPriority w:val="0"/>
    <w:pPr>
      <w:widowControl w:val="0"/>
      <w:spacing w:after="120" w:line="240" w:lineRule="auto"/>
      <w:ind w:left="200" w:leftChars="200" w:firstLine="200" w:firstLineChars="200"/>
      <w:jc w:val="both"/>
    </w:pPr>
    <w:rPr>
      <w:rFonts w:ascii="Calibri" w:hAnsi="Calibri" w:eastAsia="宋体" w:cs="Calibri"/>
      <w:kern w:val="2"/>
      <w:sz w:val="21"/>
      <w:szCs w:val="20"/>
      <w:lang w:val="en-US" w:eastAsia="zh-CN" w:bidi="ar-SA"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 xmlns="http://www.yozosoft.com.cn/officeDocument/2016/customData">
    <docPr xmlns="http://www.yozosoft.com.cn/officeDocument/2016/customData" revisions="3 0 5 0 0 0 1 0 0 0 3000 0 1 1 1 1"/>
    <sectPr xmlns="http://www.yozosoft.com.cn/officeDocument/2016/customData"/>
  </customProps>
</customData>
</file>

<file path=customXml/itemProps1.xml><?xml version="1.0" encoding="utf-8"?>
<ds:datastoreItem xmlns:ds="http://schemas.openxmlformats.org/officeDocument/2006/customXml" ds:itemID="{7C5DFADA-FEBE-4CEE-91EF-EB71FD70C1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13</Pages>
  <Words>0</Words>
  <Characters>5887</Characters>
  <Lines>0</Lines>
  <Paragraphs>41</Paragraphs>
  <TotalTime>56</TotalTime>
  <ScaleCrop>false</ScaleCrop>
  <LinksUpToDate>false</LinksUpToDate>
  <CharactersWithSpaces>7850</CharactersWithSpaces>
  <Application>WPS Office_12.8.2.1119_F1E327BC-269C-435d-A152-05C5408002CA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2020-05-11T14:11:00Z</dcterms:created>
  <dc:creator>User274</dc:creator>
  <cp:lastModifiedBy>inspur</cp:lastModifiedBy>
  <cp:lastPrinted>2025-05-11T09:52:00Z</cp:lastPrinted>
  <dcterms:modified xsi:type="dcterms:W3CDTF">2025-05-20T09:10:53Z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DBA4CABE0622DCF4F94921680F419A72_42</vt:lpwstr>
  </property>
</Properties>
</file>