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25929">
      <w:pPr>
        <w:spacing w:after="160"/>
        <w:ind w:firstLine="0" w:firstLineChars="0"/>
        <w:jc w:val="center"/>
        <w:rPr>
          <w:rFonts w:hint="eastAsia" w:ascii="方正小标宋_GBK" w:hAnsi="方正小标宋_GBK" w:eastAsia="方正小标宋_GBK" w:cs="方正小标宋_GBK"/>
          <w:color w:val="1F2329"/>
          <w:sz w:val="44"/>
          <w:szCs w:val="44"/>
          <w:highlight w:val="none"/>
          <w:u w:val="none"/>
        </w:rPr>
      </w:pPr>
      <w:r>
        <w:rPr>
          <w:rFonts w:hint="eastAsia" w:ascii="方正小标宋_GBK" w:hAnsi="方正小标宋_GBK" w:eastAsia="方正小标宋_GBK" w:cs="方正小标宋_GBK"/>
          <w:color w:val="1F2329"/>
          <w:sz w:val="44"/>
          <w:szCs w:val="44"/>
          <w:highlight w:val="none"/>
          <w:u w:val="none"/>
        </w:rPr>
        <w:t>长春市现代商贸流通体系试点城市建设</w:t>
      </w:r>
    </w:p>
    <w:p w14:paraId="7D9F7CBB">
      <w:pPr>
        <w:spacing w:after="160"/>
        <w:ind w:firstLine="0" w:firstLineChars="0"/>
        <w:jc w:val="center"/>
        <w:rPr>
          <w:rFonts w:hint="eastAsia" w:ascii="Times New Roman" w:hAnsi="Times New Roman" w:eastAsia="楷体" w:cs="Times New Roman"/>
          <w:szCs w:val="32"/>
          <w:highlight w:val="none"/>
          <w:u w:val="none"/>
        </w:rPr>
      </w:pPr>
      <w:r>
        <w:rPr>
          <w:rFonts w:hint="eastAsia" w:ascii="方正小标宋_GBK" w:hAnsi="方正小标宋_GBK" w:eastAsia="方正小标宋_GBK" w:cs="方正小标宋_GBK"/>
          <w:color w:val="1F2329"/>
          <w:sz w:val="44"/>
          <w:szCs w:val="44"/>
          <w:highlight w:val="none"/>
          <w:u w:val="none"/>
        </w:rPr>
        <w:t>项目管理办法</w:t>
      </w:r>
    </w:p>
    <w:p w14:paraId="7787395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Cs w:val="32"/>
          <w:highlight w:val="none"/>
          <w:u w:val="none"/>
        </w:rPr>
      </w:pPr>
    </w:p>
    <w:p w14:paraId="5031B17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Cs w:val="32"/>
          <w:highlight w:val="none"/>
          <w:u w:val="none"/>
        </w:rPr>
      </w:pPr>
      <w:r>
        <w:rPr>
          <w:rFonts w:hint="eastAsia" w:ascii="黑体" w:hAnsi="黑体" w:eastAsia="黑体" w:cs="黑体"/>
          <w:szCs w:val="32"/>
          <w:highlight w:val="none"/>
          <w:u w:val="none"/>
        </w:rPr>
        <w:t>第一章  总 则</w:t>
      </w:r>
    </w:p>
    <w:p w14:paraId="25462D47">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 xml:space="preserve">第一条 </w:t>
      </w:r>
      <w:r>
        <w:rPr>
          <w:rFonts w:hint="eastAsia" w:ascii="仿宋_GB2312" w:hAnsi="仿宋_GB2312" w:eastAsia="仿宋_GB2312" w:cs="仿宋_GB2312"/>
          <w:szCs w:val="32"/>
          <w:highlight w:val="none"/>
          <w:u w:val="none"/>
        </w:rPr>
        <w:t>为加强和规范长春市现代商贸流通体系试点城市建设项目管理，完善项目监督约束机制，保障项目健康有序发展，确保项目取得预期成效。</w:t>
      </w:r>
      <w:bookmarkStart w:id="0" w:name="_Hlk200354719"/>
      <w:r>
        <w:rPr>
          <w:rFonts w:hint="eastAsia" w:ascii="仿宋_GB2312" w:hAnsi="仿宋_GB2312" w:eastAsia="仿宋_GB2312" w:cs="仿宋_GB2312"/>
          <w:szCs w:val="32"/>
          <w:highlight w:val="none"/>
          <w:u w:val="none"/>
        </w:rPr>
        <w:t>按照《财政部办公厅 商务部办公厅关于支持建设现代商贸流通体系试点城市的通知》（财办建〔2024〕21号）、《财政部办公厅 商务部办公厅关于开展2025年现代商贸流通体系试点城市申报工作的通知》（财办建〔2025〕13号）</w:t>
      </w:r>
      <w:bookmarkEnd w:id="0"/>
      <w:r>
        <w:rPr>
          <w:rFonts w:hint="eastAsia" w:ascii="仿宋_GB2312" w:hAnsi="仿宋_GB2312" w:eastAsia="仿宋_GB2312" w:cs="仿宋_GB2312"/>
          <w:szCs w:val="32"/>
          <w:highlight w:val="none"/>
          <w:u w:val="none"/>
        </w:rPr>
        <w:t>的要求，结合长春市实际情况，制定《长春市现代商贸流通体系试点城市建设项目管理办法》。</w:t>
      </w:r>
    </w:p>
    <w:p w14:paraId="5C33966B">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 xml:space="preserve">第二条 </w:t>
      </w:r>
      <w:r>
        <w:rPr>
          <w:rFonts w:hint="eastAsia" w:ascii="仿宋_GB2312" w:hAnsi="仿宋_GB2312" w:eastAsia="仿宋_GB2312" w:cs="仿宋_GB2312"/>
          <w:bCs/>
          <w:szCs w:val="32"/>
          <w:highlight w:val="none"/>
          <w:u w:val="none"/>
        </w:rPr>
        <w:t>本办法</w:t>
      </w:r>
      <w:r>
        <w:rPr>
          <w:rFonts w:hint="eastAsia" w:ascii="仿宋_GB2312" w:hAnsi="仿宋_GB2312" w:eastAsia="仿宋_GB2312" w:cs="仿宋_GB2312"/>
          <w:szCs w:val="32"/>
          <w:highlight w:val="none"/>
          <w:u w:val="none"/>
        </w:rPr>
        <w:t>适用范围为</w:t>
      </w:r>
      <w:bookmarkStart w:id="1" w:name="_Hlk200355257"/>
      <w:r>
        <w:rPr>
          <w:rFonts w:hint="eastAsia" w:ascii="仿宋_GB2312" w:hAnsi="仿宋_GB2312" w:eastAsia="仿宋_GB2312" w:cs="仿宋_GB2312"/>
          <w:szCs w:val="32"/>
          <w:highlight w:val="none"/>
          <w:u w:val="none"/>
        </w:rPr>
        <w:t>长春市现代商贸流通体系试点城市中央专项资金支持建设的项目</w:t>
      </w:r>
      <w:bookmarkEnd w:id="1"/>
      <w:r>
        <w:rPr>
          <w:rFonts w:hint="eastAsia" w:ascii="仿宋_GB2312" w:hAnsi="仿宋_GB2312" w:eastAsia="仿宋_GB2312" w:cs="仿宋_GB2312"/>
          <w:szCs w:val="32"/>
          <w:highlight w:val="none"/>
          <w:u w:val="none"/>
        </w:rPr>
        <w:t>。本次试点将依托支持建设的项目，加快构建长春市现代商贸流通体系。</w:t>
      </w:r>
    </w:p>
    <w:p w14:paraId="43F61FB2">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 xml:space="preserve">第三条 </w:t>
      </w:r>
      <w:bookmarkStart w:id="2" w:name="_Hlk200355310"/>
      <w:r>
        <w:rPr>
          <w:rFonts w:hint="eastAsia" w:ascii="仿宋_GB2312" w:hAnsi="仿宋_GB2312" w:eastAsia="仿宋_GB2312" w:cs="仿宋_GB2312"/>
          <w:szCs w:val="32"/>
          <w:highlight w:val="none"/>
          <w:u w:val="none"/>
        </w:rPr>
        <w:t>长春市人民政府负责现代商贸流通体系试点城市建设工作，市商务局、市城管局等单位依据职责，负责具体落实</w:t>
      </w:r>
      <w:bookmarkEnd w:id="2"/>
      <w:r>
        <w:rPr>
          <w:rFonts w:hint="eastAsia" w:ascii="仿宋_GB2312" w:hAnsi="仿宋_GB2312" w:eastAsia="仿宋_GB2312" w:cs="仿宋_GB2312"/>
          <w:szCs w:val="32"/>
          <w:highlight w:val="none"/>
          <w:u w:val="none"/>
        </w:rPr>
        <w:t>。</w:t>
      </w:r>
    </w:p>
    <w:p w14:paraId="477B95C2">
      <w:pPr>
        <w:pStyle w:val="4"/>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bCs/>
          <w:szCs w:val="32"/>
          <w:highlight w:val="none"/>
          <w:u w:val="none"/>
        </w:rPr>
      </w:pPr>
      <w:r>
        <w:rPr>
          <w:rFonts w:hint="eastAsia" w:ascii="仿宋_GB2312" w:hAnsi="仿宋_GB2312" w:eastAsia="仿宋_GB2312" w:cs="仿宋_GB2312"/>
          <w:b/>
          <w:bCs/>
          <w:szCs w:val="32"/>
          <w:highlight w:val="none"/>
          <w:u w:val="none"/>
        </w:rPr>
        <w:t>第四条</w:t>
      </w:r>
      <w:r>
        <w:rPr>
          <w:rFonts w:hint="eastAsia" w:ascii="仿宋_GB2312" w:hAnsi="仿宋_GB2312" w:eastAsia="仿宋_GB2312" w:cs="仿宋_GB2312"/>
          <w:b w:val="0"/>
          <w:bCs w:val="0"/>
          <w:szCs w:val="32"/>
          <w:highlight w:val="none"/>
          <w:u w:val="none"/>
          <w:lang w:val="en-US" w:eastAsia="zh-CN"/>
        </w:rPr>
        <w:t xml:space="preserve"> 本办法中所指独立第三方，是由长春市商务局按照国家相关采购管理规定，通过公开招投标方式确定的审计、监理咨询机构。</w:t>
      </w:r>
    </w:p>
    <w:p w14:paraId="22DB93D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Cs w:val="32"/>
          <w:highlight w:val="none"/>
          <w:u w:val="none"/>
        </w:rPr>
      </w:pPr>
      <w:r>
        <w:rPr>
          <w:rFonts w:hint="eastAsia" w:ascii="黑体" w:hAnsi="黑体" w:eastAsia="黑体" w:cs="黑体"/>
          <w:szCs w:val="32"/>
          <w:highlight w:val="none"/>
          <w:u w:val="none"/>
        </w:rPr>
        <w:t>第二章  项目支持范围</w:t>
      </w:r>
    </w:p>
    <w:p w14:paraId="27AE4B79">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w:t>
      </w:r>
      <w:r>
        <w:rPr>
          <w:rFonts w:hint="eastAsia" w:ascii="仿宋_GB2312" w:hAnsi="仿宋_GB2312" w:eastAsia="仿宋_GB2312" w:cs="仿宋_GB2312"/>
          <w:b/>
          <w:bCs/>
          <w:szCs w:val="32"/>
          <w:highlight w:val="none"/>
          <w:u w:val="none"/>
          <w:lang w:val="en-US" w:eastAsia="zh-CN"/>
        </w:rPr>
        <w:t>五</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试点建设支持范围如下：</w:t>
      </w:r>
    </w:p>
    <w:p w14:paraId="485D11A6">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楷体" w:hAnsi="楷体" w:eastAsia="楷体" w:cs="楷体"/>
          <w:sz w:val="32"/>
          <w:szCs w:val="32"/>
          <w:highlight w:val="none"/>
          <w:u w:val="none"/>
        </w:rPr>
        <w:t>（一）推动城乡商贸流通融合发展。</w:t>
      </w:r>
      <w:r>
        <w:rPr>
          <w:rFonts w:hint="eastAsia" w:ascii="仿宋_GB2312" w:hAnsi="仿宋_GB2312" w:eastAsia="仿宋_GB2312" w:cs="仿宋_GB2312"/>
          <w:sz w:val="32"/>
          <w:szCs w:val="32"/>
          <w:highlight w:val="none"/>
          <w:u w:val="none"/>
        </w:rPr>
        <w:t>支持骨干市场设施升级、信息化改造等，提升集散、跨区域调运和宏观调控水平，加强标准化菜市场改造。支持建设改造区域冷链物流基地，增强冷藏、加工、配送等综合能力，连接产地、销地和集散地，与国家骨干冷链物流基地、产地冷链保鲜设施等错位衔接，畅通工业品下乡和农产品进城。支持商贸流通领域物流标准化、智慧化改造，推广智能仓配、自动分拣、无人配送等设施设备，发展第三方物流，提高流通效率。</w:t>
      </w:r>
    </w:p>
    <w:p w14:paraId="3E1BD2E0">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楷体" w:hAnsi="楷体" w:eastAsia="楷体" w:cs="楷体"/>
          <w:sz w:val="32"/>
          <w:szCs w:val="32"/>
          <w:highlight w:val="none"/>
          <w:u w:val="none"/>
        </w:rPr>
        <w:t>（二）建设生活必需品流通保供体系。</w:t>
      </w:r>
      <w:r>
        <w:rPr>
          <w:rFonts w:hint="eastAsia" w:ascii="仿宋_GB2312" w:hAnsi="仿宋_GB2312" w:eastAsia="仿宋_GB2312" w:cs="仿宋_GB2312"/>
          <w:sz w:val="32"/>
          <w:szCs w:val="32"/>
          <w:highlight w:val="none"/>
          <w:u w:val="none"/>
        </w:rPr>
        <w:t>聚焦生活必需品重点品种，建设改造流通保供重大设施，优化网络布局。提升农产品批发市场流通保供能力，增强储存、加工、分拣等功能。提高骨干仓储加工配送能力和效率，布局一批区域应急保供中心仓。强化消费终端网络网点建设，提升末端配送、应急投放能力。完善生活必需品储备调控体系，加强肉、菜、小包装和应急食品等储备建设。改进信息监测和预测预警。建设改造“平急两用”备用场地等，预置部分设备设施。</w:t>
      </w:r>
    </w:p>
    <w:p w14:paraId="1239E141">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楷体" w:hAnsi="楷体" w:eastAsia="楷体" w:cs="楷体"/>
          <w:sz w:val="32"/>
          <w:szCs w:val="32"/>
          <w:highlight w:val="none"/>
          <w:u w:val="none"/>
        </w:rPr>
        <w:t>（三）完善农村商贸流通体系。</w:t>
      </w:r>
      <w:r>
        <w:rPr>
          <w:rFonts w:hint="eastAsia" w:ascii="仿宋_GB2312" w:hAnsi="仿宋_GB2312" w:eastAsia="仿宋_GB2312" w:cs="仿宋_GB2312"/>
          <w:sz w:val="32"/>
          <w:szCs w:val="32"/>
          <w:highlight w:val="none"/>
          <w:u w:val="none"/>
        </w:rPr>
        <w:t>支持改造升级乡镇商贸中心、大中型超市、集贸市场等，发展连锁经营和电子商务，完善农产品商品化处理设施，促进农村消费和农民收入双提升。支持健全县乡村三级物流配送体系，建设改造县级物流配送中心和乡镇快递站点，发挥邮政、供销和农村经销商网络优势，整合消费品、农资下乡和电商快递资源，大力发展共同配送，降低农村物流成本。</w:t>
      </w:r>
    </w:p>
    <w:p w14:paraId="3537DEBA">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楷体" w:hAnsi="楷体" w:eastAsia="楷体" w:cs="楷体"/>
          <w:sz w:val="32"/>
          <w:szCs w:val="32"/>
          <w:highlight w:val="none"/>
          <w:u w:val="none"/>
        </w:rPr>
        <w:t>（四）加快培育现代流通骨干企业。</w:t>
      </w:r>
      <w:r>
        <w:rPr>
          <w:rFonts w:hint="eastAsia" w:ascii="仿宋_GB2312" w:hAnsi="仿宋_GB2312" w:eastAsia="仿宋_GB2312" w:cs="仿宋_GB2312"/>
          <w:sz w:val="32"/>
          <w:szCs w:val="32"/>
          <w:highlight w:val="none"/>
          <w:u w:val="none"/>
        </w:rPr>
        <w:t>支持传统批发零售企业数</w:t>
      </w:r>
      <w:r>
        <w:rPr>
          <w:rFonts w:hint="eastAsia" w:ascii="仿宋_GB2312" w:hAnsi="仿宋_GB2312" w:eastAsia="仿宋_GB2312" w:cs="仿宋_GB2312"/>
          <w:sz w:val="32"/>
          <w:szCs w:val="32"/>
          <w:highlight w:val="none"/>
          <w:u w:val="none"/>
          <w:lang w:val="en-US"/>
        </w:rPr>
        <w:t>字</w:t>
      </w:r>
      <w:r>
        <w:rPr>
          <w:rFonts w:hint="eastAsia" w:ascii="仿宋_GB2312" w:hAnsi="仿宋_GB2312" w:eastAsia="仿宋_GB2312" w:cs="仿宋_GB2312"/>
          <w:sz w:val="32"/>
          <w:szCs w:val="32"/>
          <w:highlight w:val="none"/>
          <w:u w:val="none"/>
        </w:rPr>
        <w:t>化转型，整合线上线下营销网络，发展集中采购、统仓统配、即时零售等，向社区和村镇延伸服务。大力发展现代供应链，依托骨干流通企业建设数字供应链服务平台，提供国内外市场开拓、品牌孵化、集采集配等服务，为中小企业发展赋能。鼓励骨干流通企业与现代农业、先进制造业、生活服务业跨界融合，构建产供销储运协同供应链，加快推动产业转型升级。</w:t>
      </w:r>
    </w:p>
    <w:p w14:paraId="20010456">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楷体" w:hAnsi="楷体" w:eastAsia="楷体" w:cs="楷体"/>
          <w:sz w:val="32"/>
          <w:szCs w:val="32"/>
          <w:highlight w:val="none"/>
          <w:u w:val="none"/>
        </w:rPr>
        <w:t>（五）完善城乡再生资源回收体系。</w:t>
      </w:r>
      <w:r>
        <w:rPr>
          <w:rFonts w:hint="eastAsia" w:ascii="仿宋_GB2312" w:hAnsi="仿宋_GB2312" w:eastAsia="仿宋_GB2312" w:cs="仿宋_GB2312"/>
          <w:sz w:val="32"/>
          <w:szCs w:val="32"/>
          <w:highlight w:val="none"/>
          <w:u w:val="none"/>
        </w:rPr>
        <w:t>统筹使用补助资金完善城乡再生资源回收体系，支持家电等耐用消费品以旧换新。支持新建、改扩建废旧家电专业型分拣中心以及包含废旧家电家具等业务的综合性再生资源分拣中心，拓展再生资源集聚、分拣、消纳等功能。支持以县城和乡镇为重点，结合县级物流配送中心、乡镇商贸中心等升级改造，建设废旧家电家具等再生资源中转站点或配套设施，畅通家电消费循环。</w:t>
      </w:r>
    </w:p>
    <w:p w14:paraId="49D6E09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楷体" w:hAnsi="楷体" w:eastAsia="楷体" w:cs="楷体"/>
          <w:szCs w:val="32"/>
          <w:highlight w:val="none"/>
          <w:u w:val="none"/>
        </w:rPr>
        <w:t>（六）经商务部、财政部批准的其他需要支持的重点</w:t>
      </w:r>
      <w:r>
        <w:rPr>
          <w:rFonts w:hint="eastAsia" w:ascii="楷体" w:hAnsi="楷体" w:eastAsia="楷体" w:cs="楷体"/>
          <w:szCs w:val="32"/>
          <w:highlight w:val="none"/>
          <w:u w:val="none"/>
          <w:lang w:val="en-US" w:eastAsia="zh-CN"/>
        </w:rPr>
        <w:t>项目</w:t>
      </w:r>
      <w:r>
        <w:rPr>
          <w:rFonts w:hint="eastAsia" w:ascii="楷体" w:hAnsi="楷体" w:eastAsia="楷体" w:cs="楷体"/>
          <w:szCs w:val="32"/>
          <w:highlight w:val="none"/>
          <w:u w:val="none"/>
        </w:rPr>
        <w:t>。</w:t>
      </w:r>
      <w:r>
        <w:rPr>
          <w:rFonts w:hint="eastAsia" w:ascii="仿宋_GB2312" w:hAnsi="仿宋_GB2312" w:eastAsia="仿宋_GB2312" w:cs="仿宋_GB2312"/>
          <w:szCs w:val="32"/>
          <w:highlight w:val="none"/>
          <w:u w:val="none"/>
        </w:rPr>
        <w:t>如：聚焦提振消费等重点任务，加快新技术应用、新业态培育、新设施布局等。另外，长春市在零售业创新提升试点城市创建过程中，征集到的符合现代商贸流通体系试点城市创建的相关项目，也可</w:t>
      </w:r>
      <w:r>
        <w:rPr>
          <w:rFonts w:hint="eastAsia" w:ascii="仿宋_GB2312" w:hAnsi="仿宋_GB2312" w:eastAsia="仿宋_GB2312" w:cs="仿宋_GB2312"/>
          <w:szCs w:val="32"/>
          <w:highlight w:val="none"/>
          <w:u w:val="none"/>
          <w:lang w:val="en-US" w:eastAsia="zh-CN"/>
        </w:rPr>
        <w:t>分别纳入以上支持方向</w:t>
      </w:r>
      <w:r>
        <w:rPr>
          <w:rFonts w:hint="eastAsia" w:ascii="仿宋_GB2312" w:hAnsi="仿宋_GB2312" w:eastAsia="仿宋_GB2312" w:cs="仿宋_GB2312"/>
          <w:szCs w:val="32"/>
          <w:highlight w:val="none"/>
          <w:u w:val="none"/>
        </w:rPr>
        <w:t>。如“一店一策”，数智赋能推动零售业场景化改造；推动零售业应用新技术、新模式、新设施，提升高品质供给能力；“一店多能”拓展，推动零售业多元化创新。</w:t>
      </w:r>
    </w:p>
    <w:p w14:paraId="3AAADFC5">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w:t>
      </w:r>
      <w:r>
        <w:rPr>
          <w:rFonts w:hint="eastAsia" w:ascii="仿宋_GB2312" w:hAnsi="仿宋_GB2312" w:eastAsia="仿宋_GB2312" w:cs="仿宋_GB2312"/>
          <w:b/>
          <w:bCs/>
          <w:szCs w:val="32"/>
          <w:highlight w:val="none"/>
          <w:u w:val="none"/>
          <w:lang w:val="en-US" w:eastAsia="zh-CN"/>
        </w:rPr>
        <w:t>六</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在全市征集到的项目，按照“分级、分库”管理原则，区分“链主、示范、市级、普通”四个层级</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链主</w:t>
      </w:r>
      <w:r>
        <w:rPr>
          <w:rFonts w:hint="eastAsia" w:ascii="仿宋_GB2312" w:hAnsi="仿宋_GB2312" w:cs="仿宋_GB2312"/>
          <w:szCs w:val="32"/>
          <w:highlight w:val="none"/>
          <w:u w:val="none"/>
          <w:lang w:val="en-US" w:eastAsia="zh-CN"/>
        </w:rPr>
        <w:t>为一级</w:t>
      </w:r>
      <w:r>
        <w:rPr>
          <w:rFonts w:hint="eastAsia" w:ascii="仿宋_GB2312" w:hAnsi="仿宋_GB2312" w:eastAsia="仿宋_GB2312" w:cs="仿宋_GB2312"/>
          <w:szCs w:val="32"/>
          <w:highlight w:val="none"/>
          <w:u w:val="none"/>
        </w:rPr>
        <w:t>、示范</w:t>
      </w:r>
      <w:r>
        <w:rPr>
          <w:rFonts w:hint="eastAsia" w:ascii="仿宋_GB2312" w:hAnsi="仿宋_GB2312" w:cs="仿宋_GB2312"/>
          <w:szCs w:val="32"/>
          <w:highlight w:val="none"/>
          <w:u w:val="none"/>
          <w:lang w:val="en-US" w:eastAsia="zh-CN"/>
        </w:rPr>
        <w:t>为二级</w:t>
      </w:r>
      <w:r>
        <w:rPr>
          <w:rFonts w:hint="eastAsia" w:ascii="仿宋_GB2312" w:hAnsi="仿宋_GB2312" w:eastAsia="仿宋_GB2312" w:cs="仿宋_GB2312"/>
          <w:szCs w:val="32"/>
          <w:highlight w:val="none"/>
          <w:u w:val="none"/>
        </w:rPr>
        <w:t>、市级</w:t>
      </w:r>
      <w:r>
        <w:rPr>
          <w:rFonts w:hint="eastAsia" w:ascii="仿宋_GB2312" w:hAnsi="仿宋_GB2312" w:cs="仿宋_GB2312"/>
          <w:szCs w:val="32"/>
          <w:highlight w:val="none"/>
          <w:u w:val="none"/>
          <w:lang w:val="en-US" w:eastAsia="zh-CN"/>
        </w:rPr>
        <w:t>为三级</w:t>
      </w:r>
      <w:r>
        <w:rPr>
          <w:rFonts w:hint="eastAsia" w:ascii="仿宋_GB2312" w:hAnsi="仿宋_GB2312" w:eastAsia="仿宋_GB2312" w:cs="仿宋_GB2312"/>
          <w:szCs w:val="32"/>
          <w:highlight w:val="none"/>
          <w:u w:val="none"/>
        </w:rPr>
        <w:t>、普通</w:t>
      </w:r>
      <w:r>
        <w:rPr>
          <w:rFonts w:hint="eastAsia" w:ascii="仿宋_GB2312" w:hAnsi="仿宋_GB2312" w:cs="仿宋_GB2312"/>
          <w:szCs w:val="32"/>
          <w:highlight w:val="none"/>
          <w:u w:val="none"/>
          <w:lang w:val="en-US" w:eastAsia="zh-CN"/>
        </w:rPr>
        <w:t>为四级</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纳入实施项目库，</w:t>
      </w:r>
      <w:r>
        <w:rPr>
          <w:rFonts w:hint="eastAsia" w:ascii="仿宋_GB2312" w:hAnsi="仿宋_GB2312" w:cs="仿宋_GB2312"/>
          <w:szCs w:val="32"/>
          <w:highlight w:val="none"/>
          <w:u w:val="none"/>
          <w:lang w:val="en-US" w:eastAsia="zh-CN"/>
        </w:rPr>
        <w:t>其他</w:t>
      </w:r>
      <w:r>
        <w:rPr>
          <w:rFonts w:hint="eastAsia" w:ascii="仿宋_GB2312" w:hAnsi="仿宋_GB2312" w:eastAsia="仿宋_GB2312" w:cs="仿宋_GB2312"/>
          <w:szCs w:val="32"/>
          <w:highlight w:val="none"/>
          <w:u w:val="none"/>
        </w:rPr>
        <w:t>项目纳入储备项目库</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生活必需品保供项目单独建库、分级</w:t>
      </w:r>
      <w:r>
        <w:rPr>
          <w:rFonts w:hint="eastAsia" w:ascii="仿宋_GB2312" w:hAnsi="仿宋_GB2312" w:cs="仿宋_GB2312"/>
          <w:szCs w:val="32"/>
          <w:highlight w:val="none"/>
          <w:u w:val="none"/>
          <w:lang w:eastAsia="zh-CN"/>
        </w:rPr>
        <w:t>；</w:t>
      </w:r>
      <w:r>
        <w:rPr>
          <w:rFonts w:hint="eastAsia" w:ascii="仿宋_GB2312" w:hAnsi="仿宋_GB2312" w:cs="仿宋_GB2312"/>
          <w:szCs w:val="32"/>
          <w:highlight w:val="none"/>
          <w:u w:val="none"/>
          <w:lang w:val="en-US" w:eastAsia="zh-CN"/>
        </w:rPr>
        <w:t>公益</w:t>
      </w:r>
      <w:r>
        <w:rPr>
          <w:rFonts w:hint="eastAsia" w:ascii="仿宋_GB2312" w:hAnsi="仿宋_GB2312" w:eastAsia="仿宋_GB2312" w:cs="仿宋_GB2312"/>
          <w:szCs w:val="32"/>
          <w:highlight w:val="none"/>
          <w:u w:val="none"/>
          <w:lang w:val="en-US" w:eastAsia="zh-CN"/>
        </w:rPr>
        <w:t>项目单独建库</w:t>
      </w:r>
      <w:r>
        <w:rPr>
          <w:rFonts w:hint="eastAsia" w:ascii="仿宋_GB2312" w:hAnsi="仿宋_GB2312" w:eastAsia="仿宋_GB2312" w:cs="仿宋_GB2312"/>
          <w:szCs w:val="32"/>
          <w:highlight w:val="none"/>
          <w:u w:val="none"/>
        </w:rPr>
        <w:t>。以畅通城乡经济循环、促进消费、保障民生为支撑，以数智赋能商贸流通为主线，围绕“新技术、新业态、新设施”的创新拓展，结合我市现代商贸流通领域实际情况，本次试点建设重点支持以下方向，作为项目分级的重要依据：</w:t>
      </w:r>
    </w:p>
    <w:p w14:paraId="591D8909">
      <w:pPr>
        <w:keepNext w:val="0"/>
        <w:keepLines w:val="0"/>
        <w:pageBreakBefore w:val="0"/>
        <w:widowControl w:val="0"/>
        <w:kinsoku/>
        <w:wordWrap/>
        <w:overflowPunct/>
        <w:topLinePunct w:val="0"/>
        <w:autoSpaceDE/>
        <w:autoSpaceDN/>
        <w:bidi w:val="0"/>
        <w:adjustRightInd/>
        <w:snapToGrid/>
        <w:spacing w:line="560" w:lineRule="exact"/>
        <w:ind w:firstLine="636"/>
        <w:textAlignment w:val="auto"/>
        <w:rPr>
          <w:rFonts w:hint="eastAsia" w:ascii="楷体" w:hAnsi="楷体" w:eastAsia="楷体" w:cs="楷体"/>
          <w:spacing w:val="-1"/>
          <w:szCs w:val="32"/>
          <w:highlight w:val="none"/>
          <w:u w:val="none"/>
        </w:rPr>
      </w:pPr>
      <w:r>
        <w:rPr>
          <w:rFonts w:hint="eastAsia" w:ascii="楷体" w:hAnsi="楷体" w:eastAsia="楷体" w:cs="楷体"/>
          <w:spacing w:val="-1"/>
          <w:szCs w:val="32"/>
          <w:highlight w:val="none"/>
          <w:u w:val="none"/>
        </w:rPr>
        <w:t>（一）推动城乡商贸流通融合发展的重点支持方向如下：</w:t>
      </w:r>
    </w:p>
    <w:p w14:paraId="4011F3F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1.支持商贸物流企业在分拣、仓储、运输等环节开展标准化、智慧化、绿色化升级改造。如：建立标准物流载具循环共用体系，推广智能仓配、自动分拣、无人配送、新能源物流车等设施设备等。</w:t>
      </w:r>
    </w:p>
    <w:p w14:paraId="3E771027">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2.支持农产品批发市场强化数智化管理，实现对农产品的价格、供求、质量检测等信息的实时监测。</w:t>
      </w:r>
    </w:p>
    <w:p w14:paraId="5D3A110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3.支持流通企业、电商、邮政、供销、快递等企业发展共同配送服务。如：支持新建和改造一批智能末端配送设施，鼓励智能快件箱、无人售货机等智能终端布设，推动无人车、无人机等智慧配送设备投入使用等。</w:t>
      </w:r>
    </w:p>
    <w:p w14:paraId="3A3B7C69">
      <w:pPr>
        <w:keepNext w:val="0"/>
        <w:keepLines w:val="0"/>
        <w:pageBreakBefore w:val="0"/>
        <w:widowControl w:val="0"/>
        <w:kinsoku/>
        <w:wordWrap/>
        <w:overflowPunct/>
        <w:topLinePunct w:val="0"/>
        <w:autoSpaceDE/>
        <w:autoSpaceDN/>
        <w:bidi w:val="0"/>
        <w:adjustRightInd/>
        <w:snapToGrid/>
        <w:spacing w:line="560" w:lineRule="exact"/>
        <w:ind w:firstLine="608"/>
        <w:textAlignment w:val="auto"/>
        <w:rPr>
          <w:rFonts w:hint="eastAsia" w:ascii="楷体" w:hAnsi="楷体" w:eastAsia="楷体" w:cs="楷体"/>
          <w:spacing w:val="-8"/>
          <w:szCs w:val="32"/>
          <w:highlight w:val="none"/>
          <w:u w:val="none"/>
        </w:rPr>
      </w:pPr>
      <w:r>
        <w:rPr>
          <w:rFonts w:hint="eastAsia" w:ascii="楷体" w:hAnsi="楷体" w:eastAsia="楷体" w:cs="楷体"/>
          <w:spacing w:val="-8"/>
          <w:szCs w:val="32"/>
          <w:highlight w:val="none"/>
          <w:u w:val="none"/>
        </w:rPr>
        <w:t>（二）建设生活必需品流通保供体系的重点支持方向如下：</w:t>
      </w:r>
    </w:p>
    <w:p w14:paraId="242DA5E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1.依托先进的供应链管理和AI智能体技术，整合政府、企业、社会等多方资源，加强商贸流通领域动态监测，构建数智化中枢，提升“平急转换”能力。</w:t>
      </w:r>
    </w:p>
    <w:p w14:paraId="7B2A85F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Cs w:val="32"/>
          <w:highlight w:val="none"/>
          <w:u w:val="none"/>
        </w:rPr>
        <w:t>2.提升中心仓、前置仓等配送信息化、自动化和智能化水平，如：应用智能仓配、自动分拣等设施设备，实现对生活必需品仓储、加工及配送情况的实时跟踪。</w:t>
      </w:r>
    </w:p>
    <w:p w14:paraId="6CC81F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ighlight w:val="none"/>
          <w:u w:val="none"/>
        </w:rPr>
      </w:pPr>
      <w:r>
        <w:rPr>
          <w:rFonts w:hint="eastAsia" w:ascii="仿宋_GB2312" w:hAnsi="仿宋_GB2312" w:cs="仿宋_GB2312"/>
          <w:kern w:val="2"/>
          <w:sz w:val="32"/>
          <w:szCs w:val="32"/>
          <w:highlight w:val="none"/>
          <w:u w:val="none"/>
          <w:lang w:val="en-US" w:eastAsia="zh-CN" w:bidi="ar-SA"/>
        </w:rPr>
        <w:t>3</w:t>
      </w:r>
      <w:r>
        <w:rPr>
          <w:rFonts w:hint="eastAsia" w:ascii="仿宋_GB2312" w:hAnsi="仿宋_GB2312" w:eastAsia="仿宋_GB2312" w:cs="仿宋_GB2312"/>
          <w:kern w:val="2"/>
          <w:sz w:val="32"/>
          <w:szCs w:val="32"/>
          <w:highlight w:val="none"/>
          <w:u w:val="none"/>
          <w:lang w:val="en-US" w:eastAsia="zh-CN" w:bidi="ar-SA"/>
        </w:rPr>
        <w:t>.支</w:t>
      </w:r>
      <w:r>
        <w:rPr>
          <w:rFonts w:hint="eastAsia"/>
          <w:highlight w:val="none"/>
          <w:u w:val="none"/>
        </w:rPr>
        <w:t>持连锁</w:t>
      </w:r>
      <w:r>
        <w:rPr>
          <w:rFonts w:hint="eastAsia"/>
          <w:highlight w:val="none"/>
          <w:u w:val="none"/>
          <w:lang w:val="en-US" w:eastAsia="zh-CN"/>
        </w:rPr>
        <w:t>经营企业</w:t>
      </w:r>
      <w:r>
        <w:rPr>
          <w:rFonts w:hint="eastAsia"/>
          <w:highlight w:val="none"/>
          <w:u w:val="none"/>
        </w:rPr>
        <w:t>推进流通保供重大设施建设与改造，</w:t>
      </w:r>
      <w:r>
        <w:rPr>
          <w:rFonts w:hint="eastAsia"/>
          <w:highlight w:val="none"/>
          <w:u w:val="none"/>
          <w:lang w:val="en-US" w:eastAsia="zh-CN"/>
        </w:rPr>
        <w:t>以此</w:t>
      </w:r>
      <w:r>
        <w:rPr>
          <w:rFonts w:hint="eastAsia"/>
          <w:highlight w:val="none"/>
          <w:u w:val="none"/>
        </w:rPr>
        <w:t>同步推动应急保供能力提档升级，鼓励消费终端网络网点运用大数据、人工智能等技术，精准及时监测、预测消费需求；同时聚焦医疗、大健康、银发经济等领域，实现应急保供增容扩能，着力达成保供主体多元、业态功能完备、保供储备充足的目标，打造改造后终端保供能力与综合保供水平显著提升的重点保供项目。</w:t>
      </w:r>
    </w:p>
    <w:p w14:paraId="36A82DB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szCs w:val="32"/>
          <w:highlight w:val="none"/>
          <w:u w:val="none"/>
        </w:rPr>
      </w:pPr>
      <w:r>
        <w:rPr>
          <w:rFonts w:hint="eastAsia" w:ascii="楷体" w:hAnsi="楷体" w:eastAsia="楷体" w:cs="楷体"/>
          <w:szCs w:val="32"/>
          <w:highlight w:val="none"/>
          <w:u w:val="none"/>
        </w:rPr>
        <w:t>（三）完善农村商贸流通体系的重点支持方向如下：</w:t>
      </w:r>
    </w:p>
    <w:p w14:paraId="7542EA2C">
      <w:pPr>
        <w:pStyle w:val="4"/>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1.支持</w:t>
      </w:r>
      <w:r>
        <w:rPr>
          <w:rFonts w:hint="eastAsia" w:ascii="仿宋_GB2312" w:hAnsi="仿宋_GB2312" w:eastAsia="仿宋_GB2312" w:cs="仿宋_GB2312"/>
          <w:szCs w:val="32"/>
          <w:highlight w:val="none"/>
          <w:u w:val="none"/>
        </w:rPr>
        <w:t>大型企业</w:t>
      </w:r>
      <w:r>
        <w:rPr>
          <w:rFonts w:hint="eastAsia" w:ascii="仿宋_GB2312" w:hAnsi="仿宋_GB2312" w:eastAsia="仿宋_GB2312" w:cs="仿宋_GB2312"/>
          <w:szCs w:val="32"/>
          <w:highlight w:val="none"/>
          <w:u w:val="none"/>
          <w:lang w:val="en-US" w:eastAsia="zh-CN"/>
        </w:rPr>
        <w:t>围绕创新业态和模式</w:t>
      </w:r>
      <w:r>
        <w:rPr>
          <w:rFonts w:hint="eastAsia" w:ascii="仿宋_GB2312" w:hAnsi="仿宋_GB2312" w:eastAsia="仿宋_GB2312" w:cs="仿宋_GB2312"/>
          <w:szCs w:val="32"/>
          <w:highlight w:val="none"/>
          <w:u w:val="none"/>
        </w:rPr>
        <w:t>开展供应链赋能，深化农村电商，</w:t>
      </w:r>
      <w:r>
        <w:rPr>
          <w:rFonts w:hint="eastAsia" w:ascii="仿宋_GB2312" w:hAnsi="仿宋_GB2312" w:eastAsia="仿宋_GB2312" w:cs="仿宋_GB2312"/>
          <w:szCs w:val="32"/>
          <w:highlight w:val="none"/>
          <w:u w:val="none"/>
          <w:lang w:val="en-US" w:eastAsia="zh-CN"/>
        </w:rPr>
        <w:t>利用数智化改造健全县乡村三级物流配送体系，推动</w:t>
      </w:r>
      <w:r>
        <w:rPr>
          <w:rFonts w:hint="eastAsia" w:ascii="仿宋_GB2312" w:hAnsi="仿宋_GB2312" w:eastAsia="仿宋_GB2312" w:cs="仿宋_GB2312"/>
          <w:szCs w:val="32"/>
          <w:highlight w:val="none"/>
          <w:u w:val="none"/>
        </w:rPr>
        <w:t>县乡村物流共同配送，</w:t>
      </w:r>
      <w:r>
        <w:rPr>
          <w:rFonts w:hint="eastAsia" w:ascii="仿宋_GB2312" w:hAnsi="仿宋_GB2312" w:eastAsia="仿宋_GB2312" w:cs="仿宋_GB2312"/>
          <w:szCs w:val="32"/>
          <w:highlight w:val="none"/>
          <w:u w:val="none"/>
          <w:lang w:val="en-US" w:eastAsia="zh-CN"/>
        </w:rPr>
        <w:t>降低物流成本。</w:t>
      </w:r>
    </w:p>
    <w:p w14:paraId="65637A8A">
      <w:pPr>
        <w:pStyle w:val="4"/>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2.支持</w:t>
      </w:r>
      <w:r>
        <w:rPr>
          <w:rFonts w:hint="eastAsia" w:ascii="仿宋_GB2312" w:hAnsi="仿宋_GB2312" w:eastAsia="仿宋_GB2312" w:cs="仿宋_GB2312"/>
          <w:szCs w:val="32"/>
          <w:highlight w:val="none"/>
          <w:u w:val="none"/>
        </w:rPr>
        <w:t>商贸流通</w:t>
      </w:r>
      <w:r>
        <w:rPr>
          <w:rFonts w:hint="eastAsia" w:ascii="仿宋_GB2312" w:hAnsi="仿宋_GB2312" w:eastAsia="仿宋_GB2312" w:cs="仿宋_GB2312"/>
          <w:szCs w:val="32"/>
          <w:highlight w:val="none"/>
          <w:u w:val="none"/>
          <w:lang w:val="en-US" w:eastAsia="zh-CN"/>
        </w:rPr>
        <w:t>企业围绕农产品上行，购置预冷、配送等商品化预处理设施，提高农产品商品转化率，推动商业助农增收。</w:t>
      </w:r>
    </w:p>
    <w:p w14:paraId="0F596771">
      <w:pPr>
        <w:pStyle w:val="4"/>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Cs w:val="32"/>
          <w:highlight w:val="none"/>
          <w:u w:val="none"/>
        </w:rPr>
        <w:t>3.</w:t>
      </w:r>
      <w:r>
        <w:rPr>
          <w:rFonts w:hint="eastAsia" w:ascii="仿宋_GB2312" w:hAnsi="仿宋_GB2312" w:eastAsia="仿宋_GB2312" w:cs="仿宋_GB2312"/>
          <w:szCs w:val="32"/>
          <w:highlight w:val="none"/>
          <w:u w:val="none"/>
          <w:lang w:val="en-US" w:eastAsia="zh-CN"/>
        </w:rPr>
        <w:t>支持</w:t>
      </w:r>
      <w:r>
        <w:rPr>
          <w:rFonts w:hint="eastAsia" w:ascii="仿宋_GB2312" w:hAnsi="仿宋_GB2312" w:eastAsia="仿宋_GB2312" w:cs="仿宋_GB2312"/>
          <w:sz w:val="32"/>
          <w:szCs w:val="32"/>
          <w:highlight w:val="none"/>
          <w:u w:val="none"/>
        </w:rPr>
        <w:t>改造升级乡镇商贸中心、大中型超市、集贸市场等，</w:t>
      </w:r>
      <w:r>
        <w:rPr>
          <w:rFonts w:hint="eastAsia" w:ascii="仿宋_GB2312" w:hAnsi="仿宋_GB2312" w:eastAsia="仿宋_GB2312" w:cs="仿宋_GB2312"/>
          <w:sz w:val="32"/>
          <w:szCs w:val="32"/>
          <w:highlight w:val="none"/>
          <w:u w:val="none"/>
          <w:lang w:val="en-US" w:eastAsia="zh-CN"/>
        </w:rPr>
        <w:t>增加生活服务功能，推动购物、娱乐、休闲等业态融合，强化综合商业服务能力</w:t>
      </w:r>
      <w:r>
        <w:rPr>
          <w:rFonts w:hint="eastAsia" w:ascii="仿宋_GB2312" w:hAnsi="仿宋_GB2312" w:eastAsia="仿宋_GB2312" w:cs="仿宋_GB2312"/>
          <w:sz w:val="32"/>
          <w:szCs w:val="32"/>
          <w:highlight w:val="none"/>
          <w:u w:val="none"/>
          <w:lang w:eastAsia="zh-CN"/>
        </w:rPr>
        <w:t>。</w:t>
      </w:r>
    </w:p>
    <w:p w14:paraId="332DF276">
      <w:pPr>
        <w:keepNext w:val="0"/>
        <w:keepLines w:val="0"/>
        <w:pageBreakBefore w:val="0"/>
        <w:widowControl w:val="0"/>
        <w:kinsoku/>
        <w:wordWrap/>
        <w:overflowPunct/>
        <w:topLinePunct w:val="0"/>
        <w:autoSpaceDE/>
        <w:autoSpaceDN/>
        <w:bidi w:val="0"/>
        <w:adjustRightInd/>
        <w:snapToGrid/>
        <w:spacing w:line="560" w:lineRule="exact"/>
        <w:ind w:firstLine="636"/>
        <w:textAlignment w:val="auto"/>
        <w:rPr>
          <w:rFonts w:hint="eastAsia" w:ascii="楷体" w:hAnsi="楷体" w:eastAsia="楷体" w:cs="楷体"/>
          <w:spacing w:val="-1"/>
          <w:szCs w:val="32"/>
          <w:highlight w:val="none"/>
          <w:u w:val="none"/>
        </w:rPr>
      </w:pPr>
      <w:r>
        <w:rPr>
          <w:rFonts w:hint="eastAsia" w:ascii="楷体" w:hAnsi="楷体" w:eastAsia="楷体" w:cs="楷体"/>
          <w:spacing w:val="-1"/>
          <w:szCs w:val="32"/>
          <w:highlight w:val="none"/>
          <w:u w:val="none"/>
        </w:rPr>
        <w:t>（四）加快培育现代流通骨干企业的重点支持方向如下：</w:t>
      </w:r>
    </w:p>
    <w:p w14:paraId="0CCAAA00">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sz w:val="32"/>
          <w:szCs w:val="32"/>
          <w:highlight w:val="none"/>
          <w:u w:val="none"/>
        </w:rPr>
        <w:t>支持批发零售等流通骨干企业，重点培育与现代产业集群等紧密衔接的流通骨干企业，鼓励骨干企业加快数</w:t>
      </w:r>
      <w:r>
        <w:rPr>
          <w:rFonts w:hint="eastAsia" w:ascii="仿宋_GB2312" w:hAnsi="仿宋_GB2312" w:eastAsia="仿宋_GB2312" w:cs="仿宋_GB2312"/>
          <w:sz w:val="32"/>
          <w:szCs w:val="32"/>
          <w:highlight w:val="none"/>
          <w:u w:val="none"/>
          <w:lang w:val="en-US" w:eastAsia="zh-CN"/>
        </w:rPr>
        <w:t>智</w:t>
      </w:r>
      <w:r>
        <w:rPr>
          <w:rFonts w:hint="eastAsia" w:ascii="仿宋_GB2312" w:hAnsi="仿宋_GB2312" w:eastAsia="仿宋_GB2312" w:cs="仿宋_GB2312"/>
          <w:sz w:val="32"/>
          <w:szCs w:val="32"/>
          <w:highlight w:val="none"/>
          <w:u w:val="none"/>
        </w:rPr>
        <w:t>化赋能，搭建产业级数</w:t>
      </w:r>
      <w:r>
        <w:rPr>
          <w:rFonts w:hint="eastAsia" w:ascii="仿宋_GB2312" w:hAnsi="仿宋_GB2312" w:eastAsia="仿宋_GB2312" w:cs="仿宋_GB2312"/>
          <w:sz w:val="32"/>
          <w:szCs w:val="32"/>
          <w:highlight w:val="none"/>
          <w:u w:val="none"/>
          <w:lang w:val="en-US"/>
        </w:rPr>
        <w:t>字</w:t>
      </w:r>
      <w:r>
        <w:rPr>
          <w:rFonts w:hint="eastAsia" w:ascii="仿宋_GB2312" w:hAnsi="仿宋_GB2312" w:eastAsia="仿宋_GB2312" w:cs="仿宋_GB2312"/>
          <w:sz w:val="32"/>
          <w:szCs w:val="32"/>
          <w:highlight w:val="none"/>
          <w:u w:val="none"/>
        </w:rPr>
        <w:t>供应链平台，实现采购、生产、库存数据链贯通，促进供应链上下游的数据互通和业务协同，赋能中小微企业，构建产供销储运协同供应链。</w:t>
      </w:r>
    </w:p>
    <w:p w14:paraId="01F5CBDF">
      <w:pPr>
        <w:pStyle w:val="4"/>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2.鼓励大型实体店不断丰富消费体验，向智能化、多样化商业服务综合体转型，增加餐饮、休闲、娱乐、文化等“一站式”服务的新地标，满足全方位消费需求。</w:t>
      </w:r>
    </w:p>
    <w:p w14:paraId="2EBDF14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val="0"/>
          <w:szCs w:val="32"/>
          <w:highlight w:val="none"/>
          <w:u w:val="none"/>
          <w:lang w:eastAsia="zh-CN"/>
        </w:rPr>
      </w:pPr>
      <w:r>
        <w:rPr>
          <w:rFonts w:hint="eastAsia" w:ascii="仿宋_GB2312" w:hAnsi="仿宋_GB2312" w:eastAsia="仿宋_GB2312" w:cs="仿宋_GB2312"/>
          <w:szCs w:val="32"/>
          <w:highlight w:val="none"/>
          <w:u w:val="none"/>
          <w:lang w:val="en-US" w:eastAsia="zh-CN"/>
        </w:rPr>
        <w:t>3.</w:t>
      </w:r>
      <w:r>
        <w:rPr>
          <w:rFonts w:hint="eastAsia" w:ascii="仿宋_GB2312" w:hAnsi="仿宋_GB2312" w:eastAsia="仿宋_GB2312" w:cs="仿宋_GB2312"/>
          <w:szCs w:val="32"/>
          <w:highlight w:val="none"/>
          <w:u w:val="none"/>
        </w:rPr>
        <w:t>支持实体零售数</w:t>
      </w:r>
      <w:r>
        <w:rPr>
          <w:rFonts w:hint="eastAsia" w:ascii="仿宋_GB2312" w:hAnsi="仿宋_GB2312" w:cs="仿宋_GB2312"/>
          <w:color w:val="auto"/>
          <w:szCs w:val="32"/>
          <w:highlight w:val="none"/>
          <w:u w:val="none"/>
          <w:lang w:val="en-US" w:eastAsia="zh-CN"/>
        </w:rPr>
        <w:t>智</w:t>
      </w:r>
      <w:r>
        <w:rPr>
          <w:rFonts w:hint="eastAsia" w:ascii="仿宋_GB2312" w:hAnsi="仿宋_GB2312" w:eastAsia="仿宋_GB2312" w:cs="仿宋_GB2312"/>
          <w:szCs w:val="32"/>
          <w:highlight w:val="none"/>
          <w:u w:val="none"/>
        </w:rPr>
        <w:t>赋能，发展“AI+消费”，推动多元化业态创新，鼓励全渠道融合，发展品牌连锁、即时零售等新模式，推广智能导购、自动补货、虚拟体验、无人结算等技术应用场景，培育大健康等消费热点</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rPr>
        <w:t>支持连锁商贸企业通过升级改造传统夫妻店、新增社区便利店等方式，打造零售新业态，</w:t>
      </w:r>
      <w:r>
        <w:rPr>
          <w:rFonts w:hint="eastAsia" w:ascii="仿宋_GB2312" w:hAnsi="仿宋_GB2312" w:eastAsia="仿宋_GB2312" w:cs="仿宋_GB2312"/>
          <w:bCs w:val="0"/>
          <w:szCs w:val="32"/>
          <w:highlight w:val="none"/>
          <w:u w:val="none"/>
        </w:rPr>
        <w:t>推广“数</w:t>
      </w:r>
      <w:r>
        <w:rPr>
          <w:rFonts w:hint="eastAsia" w:ascii="仿宋_GB2312" w:hAnsi="仿宋_GB2312" w:cs="仿宋_GB2312"/>
          <w:bCs w:val="0"/>
          <w:szCs w:val="32"/>
          <w:highlight w:val="none"/>
          <w:u w:val="none"/>
          <w:lang w:val="en-US" w:eastAsia="zh-CN"/>
        </w:rPr>
        <w:t>智</w:t>
      </w:r>
      <w:r>
        <w:rPr>
          <w:rFonts w:hint="eastAsia" w:ascii="仿宋_GB2312" w:hAnsi="仿宋_GB2312" w:eastAsia="仿宋_GB2312" w:cs="仿宋_GB2312"/>
          <w:bCs w:val="0"/>
          <w:szCs w:val="32"/>
          <w:highlight w:val="none"/>
          <w:u w:val="none"/>
        </w:rPr>
        <w:t>赋能</w:t>
      </w:r>
      <w:r>
        <w:rPr>
          <w:rFonts w:hint="eastAsia" w:ascii="仿宋_GB2312" w:hAnsi="仿宋_GB2312" w:eastAsia="仿宋_GB2312" w:cs="仿宋_GB2312"/>
          <w:szCs w:val="32"/>
          <w:highlight w:val="none"/>
          <w:u w:val="none"/>
        </w:rPr>
        <w:t>+</w:t>
      </w:r>
      <w:r>
        <w:rPr>
          <w:rFonts w:hint="eastAsia" w:ascii="仿宋_GB2312" w:hAnsi="仿宋_GB2312" w:eastAsia="仿宋_GB2312" w:cs="仿宋_GB2312"/>
          <w:bCs w:val="0"/>
          <w:szCs w:val="32"/>
          <w:highlight w:val="none"/>
          <w:u w:val="none"/>
        </w:rPr>
        <w:t>连锁经营”</w:t>
      </w:r>
      <w:r>
        <w:rPr>
          <w:rFonts w:hint="eastAsia" w:ascii="仿宋_GB2312" w:hAnsi="仿宋_GB2312" w:eastAsia="仿宋_GB2312" w:cs="仿宋_GB2312"/>
          <w:bCs w:val="0"/>
          <w:szCs w:val="32"/>
          <w:highlight w:val="none"/>
          <w:u w:val="none"/>
          <w:lang w:eastAsia="zh-CN"/>
        </w:rPr>
        <w:t>。</w:t>
      </w:r>
    </w:p>
    <w:p w14:paraId="27F8DE2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lang w:val="en-US" w:eastAsia="zh-CN"/>
        </w:rPr>
        <w:t>4.</w:t>
      </w:r>
      <w:r>
        <w:rPr>
          <w:rFonts w:hint="eastAsia" w:ascii="仿宋_GB2312" w:hAnsi="仿宋_GB2312" w:eastAsia="仿宋_GB2312" w:cs="仿宋_GB2312"/>
          <w:szCs w:val="32"/>
          <w:highlight w:val="none"/>
          <w:u w:val="none"/>
        </w:rPr>
        <w:t>鼓励大型商贸综合体以“提升流通效率、优化消费体验、强化功能适配”为核心，</w:t>
      </w:r>
      <w:r>
        <w:rPr>
          <w:rFonts w:hint="eastAsia" w:ascii="仿宋_GB2312" w:hAnsi="仿宋_GB2312" w:eastAsia="仿宋_GB2312" w:cs="仿宋_GB2312"/>
          <w:szCs w:val="32"/>
          <w:highlight w:val="none"/>
          <w:u w:val="none"/>
          <w:lang w:val="en-US" w:eastAsia="zh-CN"/>
        </w:rPr>
        <w:t>系统</w:t>
      </w:r>
      <w:r>
        <w:rPr>
          <w:rFonts w:hint="eastAsia" w:ascii="仿宋_GB2312" w:hAnsi="仿宋_GB2312" w:eastAsia="仿宋_GB2312" w:cs="仿宋_GB2312"/>
          <w:szCs w:val="32"/>
          <w:highlight w:val="none"/>
          <w:u w:val="none"/>
        </w:rPr>
        <w:t>推进场景优化升级</w:t>
      </w:r>
      <w:r>
        <w:rPr>
          <w:rFonts w:hint="eastAsia" w:ascii="仿宋_GB2312" w:hAnsi="仿宋_GB2312" w:eastAsia="仿宋_GB2312" w:cs="仿宋_GB2312"/>
          <w:szCs w:val="32"/>
          <w:highlight w:val="none"/>
          <w:u w:val="none"/>
          <w:lang w:val="en-US" w:eastAsia="zh-CN"/>
        </w:rPr>
        <w:t>。</w:t>
      </w:r>
    </w:p>
    <w:p w14:paraId="7CA21F5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5.</w:t>
      </w:r>
      <w:r>
        <w:rPr>
          <w:rFonts w:hint="eastAsia" w:ascii="仿宋_GB2312" w:hAnsi="仿宋_GB2312" w:eastAsia="仿宋_GB2312" w:cs="仿宋_GB2312"/>
          <w:szCs w:val="32"/>
          <w:highlight w:val="none"/>
          <w:u w:val="none"/>
        </w:rPr>
        <w:t>支持商圈、商街、城市会客厅等新场景打造</w:t>
      </w:r>
      <w:r>
        <w:rPr>
          <w:rFonts w:hint="eastAsia" w:ascii="仿宋_GB2312" w:hAnsi="仿宋_GB2312" w:eastAsia="仿宋_GB2312" w:cs="仿宋_GB2312"/>
          <w:szCs w:val="32"/>
          <w:highlight w:val="none"/>
          <w:u w:val="none"/>
          <w:lang w:eastAsia="zh-CN"/>
        </w:rPr>
        <w:t>。</w:t>
      </w:r>
    </w:p>
    <w:p w14:paraId="28C76496">
      <w:pPr>
        <w:pStyle w:val="2"/>
        <w:keepNext w:val="0"/>
        <w:keepLines w:val="0"/>
        <w:pageBreakBefore w:val="0"/>
        <w:widowControl w:val="0"/>
        <w:kinsoku/>
        <w:wordWrap/>
        <w:overflowPunct/>
        <w:topLinePunct w:val="0"/>
        <w:autoSpaceDE/>
        <w:autoSpaceDN/>
        <w:bidi w:val="0"/>
        <w:adjustRightInd/>
        <w:snapToGrid/>
        <w:spacing w:line="560" w:lineRule="exact"/>
        <w:ind w:firstLine="636"/>
        <w:textAlignment w:val="auto"/>
        <w:rPr>
          <w:rFonts w:hint="eastAsia" w:ascii="楷体" w:hAnsi="楷体" w:eastAsia="楷体" w:cs="楷体"/>
          <w:spacing w:val="-1"/>
          <w:sz w:val="32"/>
          <w:szCs w:val="32"/>
          <w:highlight w:val="none"/>
          <w:u w:val="none"/>
        </w:rPr>
      </w:pPr>
      <w:r>
        <w:rPr>
          <w:rFonts w:hint="eastAsia" w:ascii="楷体" w:hAnsi="楷体" w:eastAsia="楷体" w:cs="楷体"/>
          <w:spacing w:val="-1"/>
          <w:sz w:val="32"/>
          <w:szCs w:val="32"/>
          <w:highlight w:val="none"/>
          <w:u w:val="none"/>
        </w:rPr>
        <w:t>（五）</w:t>
      </w:r>
      <w:r>
        <w:rPr>
          <w:rFonts w:hint="eastAsia" w:ascii="楷体" w:hAnsi="楷体" w:eastAsia="楷体" w:cs="楷体"/>
          <w:spacing w:val="-1"/>
          <w:sz w:val="32"/>
          <w:szCs w:val="32"/>
          <w:highlight w:val="none"/>
          <w:u w:val="none"/>
          <w:lang w:val="en-US" w:eastAsia="zh-CN"/>
        </w:rPr>
        <w:t>完善</w:t>
      </w:r>
      <w:bookmarkStart w:id="30" w:name="_GoBack"/>
      <w:bookmarkEnd w:id="30"/>
      <w:r>
        <w:rPr>
          <w:rFonts w:hint="eastAsia" w:ascii="楷体" w:hAnsi="楷体" w:eastAsia="楷体" w:cs="楷体"/>
          <w:spacing w:val="-1"/>
          <w:sz w:val="32"/>
          <w:szCs w:val="32"/>
          <w:highlight w:val="none"/>
          <w:u w:val="none"/>
        </w:rPr>
        <w:t>城乡再生资源回收体系的重点支持方向如下：</w:t>
      </w:r>
    </w:p>
    <w:p w14:paraId="4757107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1.支持废旧家电家具等再生资源回收体系典型企业，促进废弃电器电子产品以旧换新回收处理工作，包括综合性再生资源回收站、分拣中心、集散场所。</w:t>
      </w:r>
    </w:p>
    <w:p w14:paraId="6C97F2F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2.发展“互联网+回收”新模式，优先支持废旧家电家具等再生资源回收利用企业全流程可追溯管理系统信息化建设和数字化配套设备，如：电子秤、电子屏、移动端设备、收运车辆GPS等，建设线上线下相结合的再生资源回收利用信息化平台。</w:t>
      </w:r>
    </w:p>
    <w:p w14:paraId="646D8BE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3.支持企业进街道、进社区建设回收网点、设置智能回收箱，支持再生资源回收中转站设备升级改造，支持建设符合商务部绿色分拣中心标准的综合型、专业型绿色分拣中心等。</w:t>
      </w:r>
    </w:p>
    <w:p w14:paraId="2154210A">
      <w:pPr>
        <w:pStyle w:val="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七</w:t>
      </w:r>
      <w:r>
        <w:rPr>
          <w:rFonts w:hint="eastAsia" w:ascii="仿宋_GB2312" w:hAnsi="仿宋_GB2312" w:eastAsia="仿宋_GB2312" w:cs="仿宋_GB2312"/>
          <w:b/>
          <w:bCs/>
          <w:sz w:val="32"/>
          <w:szCs w:val="32"/>
          <w:highlight w:val="none"/>
          <w:u w:val="none"/>
        </w:rPr>
        <w:t>条</w:t>
      </w:r>
      <w:bookmarkStart w:id="3" w:name="_Hlk200362047"/>
      <w:r>
        <w:rPr>
          <w:rFonts w:hint="eastAsia" w:ascii="仿宋_GB2312" w:hAnsi="仿宋_GB2312" w:eastAsia="仿宋_GB2312" w:cs="仿宋_GB2312"/>
          <w:b/>
          <w:bCs/>
          <w:sz w:val="32"/>
          <w:szCs w:val="32"/>
          <w:highlight w:val="none"/>
          <w:u w:val="none"/>
        </w:rPr>
        <w:t xml:space="preserve"> </w:t>
      </w:r>
      <w:r>
        <w:rPr>
          <w:rFonts w:hint="eastAsia" w:ascii="仿宋_GB2312" w:hAnsi="仿宋_GB2312" w:eastAsia="仿宋_GB2312" w:cs="仿宋_GB2312"/>
          <w:sz w:val="32"/>
          <w:szCs w:val="32"/>
          <w:highlight w:val="none"/>
          <w:u w:val="none"/>
        </w:rPr>
        <w:t>符合项目支持的投资额为在项目建设期间发生的符合支持范围及内容的实际总支出，包括项目的基础设施建设（不含土地购买、租赁费用、房屋建设相关勘测、设计、评估等费用）、设备设施更新、信息化软硬件投资等。原则上不支持土建（即土方开挖、基础浇筑、墙体砌筑、地面铺设等施工内容）及具有商业地产开发性质项目，根据实际需要，老旧农产品批发市场、菜市场、冷库仓库等路面硬化、结构加固、库体保温等可列入符合项目支持的投资额，但不得列支整体基建。</w:t>
      </w:r>
      <w:bookmarkEnd w:id="3"/>
    </w:p>
    <w:p w14:paraId="50E6B85E">
      <w:pPr>
        <w:pStyle w:val="2"/>
        <w:keepNext w:val="0"/>
        <w:keepLines w:val="0"/>
        <w:pageBreakBefore w:val="0"/>
        <w:widowControl w:val="0"/>
        <w:kinsoku/>
        <w:wordWrap/>
        <w:overflowPunct/>
        <w:topLinePunct w:val="0"/>
        <w:autoSpaceDE w:val="0"/>
        <w:autoSpaceDN/>
        <w:bidi w:val="0"/>
        <w:adjustRightInd/>
        <w:snapToGrid/>
        <w:spacing w:line="560" w:lineRule="exact"/>
        <w:ind w:firstLine="643"/>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八</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sz w:val="32"/>
          <w:szCs w:val="32"/>
          <w:highlight w:val="none"/>
          <w:u w:val="none"/>
        </w:rPr>
        <w:t xml:space="preserve"> 涉及设备采购、项目开发费用的，项目申报主体应提供相关设备采购价格、项目开发费用不高于市场平均价的相关证明材料</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涉及数智化</w:t>
      </w:r>
      <w:r>
        <w:rPr>
          <w:rFonts w:hint="eastAsia" w:ascii="仿宋_GB2312" w:hAnsi="仿宋_GB2312" w:eastAsia="仿宋_GB2312" w:cs="仿宋_GB2312"/>
          <w:sz w:val="32"/>
          <w:szCs w:val="32"/>
          <w:highlight w:val="none"/>
          <w:u w:val="none"/>
        </w:rPr>
        <w:t>设备设施</w:t>
      </w:r>
      <w:r>
        <w:rPr>
          <w:rFonts w:hint="eastAsia" w:ascii="仿宋_GB2312" w:hAnsi="仿宋_GB2312" w:eastAsia="仿宋_GB2312" w:cs="仿宋_GB2312"/>
          <w:sz w:val="32"/>
          <w:szCs w:val="32"/>
          <w:highlight w:val="none"/>
          <w:u w:val="none"/>
          <w:lang w:val="en-US" w:eastAsia="zh-CN"/>
        </w:rPr>
        <w:t>方面以及知识产权类的项目，其软件部分需符合《软件工程软件开发成本度量规范》（GB/T36964-2018）</w:t>
      </w:r>
      <w:r>
        <w:rPr>
          <w:rFonts w:hint="eastAsia" w:ascii="仿宋_GB2312" w:hAnsi="仿宋_GB2312" w:eastAsia="仿宋_GB2312" w:cs="仿宋_GB2312"/>
          <w:sz w:val="32"/>
          <w:szCs w:val="32"/>
          <w:highlight w:val="none"/>
          <w:u w:val="none"/>
        </w:rPr>
        <w:t>。</w:t>
      </w:r>
    </w:p>
    <w:p w14:paraId="1D890DC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Cs w:val="32"/>
          <w:highlight w:val="none"/>
          <w:u w:val="none"/>
        </w:rPr>
      </w:pPr>
      <w:r>
        <w:rPr>
          <w:rFonts w:hint="eastAsia" w:ascii="黑体" w:hAnsi="黑体" w:eastAsia="黑体" w:cs="黑体"/>
          <w:szCs w:val="32"/>
          <w:highlight w:val="none"/>
          <w:u w:val="none"/>
        </w:rPr>
        <w:t>第三章  申报条件与流程</w:t>
      </w:r>
    </w:p>
    <w:p w14:paraId="52D0CB3C">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w:t>
      </w:r>
      <w:r>
        <w:rPr>
          <w:rFonts w:hint="eastAsia" w:ascii="仿宋_GB2312" w:hAnsi="仿宋_GB2312" w:eastAsia="仿宋_GB2312" w:cs="仿宋_GB2312"/>
          <w:b/>
          <w:bCs/>
          <w:szCs w:val="32"/>
          <w:highlight w:val="none"/>
          <w:u w:val="none"/>
          <w:lang w:val="en-US" w:eastAsia="zh-CN"/>
        </w:rPr>
        <w:t>九</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项目申报单位应具备以下条件：</w:t>
      </w:r>
    </w:p>
    <w:p w14:paraId="178DDD5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（一）申报单位为项目的实施主体</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是在长春市行政区域内依法登记注册的</w:t>
      </w:r>
      <w:r>
        <w:rPr>
          <w:rFonts w:hint="eastAsia" w:ascii="仿宋_GB2312" w:hAnsi="仿宋_GB2312" w:eastAsia="仿宋_GB2312" w:cs="仿宋_GB2312"/>
          <w:color w:val="000000"/>
          <w:szCs w:val="32"/>
          <w:highlight w:val="none"/>
          <w:u w:val="none"/>
        </w:rPr>
        <w:t>具有独立法人资格</w:t>
      </w:r>
      <w:r>
        <w:rPr>
          <w:rFonts w:hint="eastAsia" w:ascii="仿宋_GB2312" w:hAnsi="仿宋_GB2312" w:cs="仿宋_GB2312"/>
          <w:color w:val="000000"/>
          <w:szCs w:val="32"/>
          <w:highlight w:val="none"/>
          <w:u w:val="none"/>
          <w:lang w:eastAsia="zh-CN"/>
        </w:rPr>
        <w:t>（</w:t>
      </w:r>
      <w:r>
        <w:rPr>
          <w:rFonts w:hint="eastAsia" w:ascii="仿宋_GB2312" w:hAnsi="仿宋_GB2312" w:cs="仿宋_GB2312"/>
          <w:color w:val="000000"/>
          <w:szCs w:val="32"/>
          <w:highlight w:val="none"/>
          <w:u w:val="none"/>
          <w:lang w:val="en-US" w:eastAsia="zh-CN"/>
        </w:rPr>
        <w:t>个体户等特殊情况除外</w:t>
      </w:r>
      <w:r>
        <w:rPr>
          <w:rFonts w:hint="eastAsia" w:ascii="仿宋_GB2312" w:hAnsi="仿宋_GB2312" w:cs="仿宋_GB2312"/>
          <w:color w:val="000000"/>
          <w:szCs w:val="32"/>
          <w:highlight w:val="none"/>
          <w:u w:val="none"/>
          <w:lang w:eastAsia="zh-CN"/>
        </w:rPr>
        <w:t>）</w:t>
      </w:r>
      <w:r>
        <w:rPr>
          <w:rFonts w:hint="eastAsia" w:ascii="仿宋_GB2312" w:hAnsi="仿宋_GB2312" w:eastAsia="仿宋_GB2312" w:cs="仿宋_GB2312"/>
          <w:color w:val="000000"/>
          <w:szCs w:val="32"/>
          <w:highlight w:val="none"/>
          <w:u w:val="none"/>
        </w:rPr>
        <w:t>，经营证照齐备有效</w:t>
      </w:r>
      <w:r>
        <w:rPr>
          <w:rFonts w:hint="eastAsia" w:ascii="仿宋_GB2312" w:hAnsi="仿宋_GB2312" w:eastAsia="仿宋_GB2312" w:cs="仿宋_GB2312"/>
          <w:szCs w:val="32"/>
          <w:highlight w:val="none"/>
          <w:u w:val="none"/>
        </w:rPr>
        <w:t>，或虽未在长春市行政区域</w:t>
      </w:r>
      <w:r>
        <w:rPr>
          <w:rFonts w:hint="eastAsia" w:ascii="仿宋_GB2312" w:hAnsi="仿宋_GB2312" w:cs="仿宋_GB2312"/>
          <w:szCs w:val="32"/>
          <w:highlight w:val="none"/>
          <w:u w:val="none"/>
          <w:lang w:val="en-US" w:eastAsia="zh-CN"/>
        </w:rPr>
        <w:t>内</w:t>
      </w:r>
      <w:r>
        <w:rPr>
          <w:rFonts w:hint="eastAsia" w:ascii="仿宋_GB2312" w:hAnsi="仿宋_GB2312" w:eastAsia="仿宋_GB2312" w:cs="仿宋_GB2312"/>
          <w:szCs w:val="32"/>
          <w:highlight w:val="none"/>
          <w:u w:val="none"/>
        </w:rPr>
        <w:t>注册但项目服务地在长春市行政区域内、且具备承担项目实施能力的市场主体。</w:t>
      </w:r>
    </w:p>
    <w:p w14:paraId="6EF0441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（二）申报单位依据经营范围合法经营、规范管理，财务制度、会计核算体系健全，经营状况、信用状况良好</w:t>
      </w:r>
      <w:r>
        <w:rPr>
          <w:rFonts w:hint="eastAsia" w:ascii="仿宋_GB2312" w:hAnsi="仿宋_GB2312" w:cs="仿宋_GB2312"/>
          <w:szCs w:val="32"/>
          <w:highlight w:val="none"/>
          <w:u w:val="none"/>
          <w:lang w:eastAsia="zh-CN"/>
        </w:rPr>
        <w:t>（</w:t>
      </w:r>
      <w:r>
        <w:rPr>
          <w:rFonts w:eastAsia="仿宋_GB2312"/>
          <w:sz w:val="32"/>
          <w:szCs w:val="32"/>
          <w:highlight w:val="none"/>
          <w:u w:val="none"/>
        </w:rPr>
        <w:t>通过</w:t>
      </w:r>
      <w:r>
        <w:rPr>
          <w:rFonts w:hint="eastAsia" w:ascii="仿宋_GB2312" w:hAnsi="仿宋_GB2312" w:eastAsia="仿宋_GB2312" w:cs="仿宋_GB2312"/>
          <w:sz w:val="32"/>
          <w:szCs w:val="32"/>
          <w:highlight w:val="none"/>
          <w:u w:val="none"/>
        </w:rPr>
        <w:t>“</w:t>
      </w:r>
      <w:r>
        <w:rPr>
          <w:rFonts w:eastAsia="仿宋_GB2312"/>
          <w:sz w:val="32"/>
          <w:szCs w:val="32"/>
          <w:highlight w:val="none"/>
          <w:u w:val="none"/>
        </w:rPr>
        <w:t>信用中国</w:t>
      </w:r>
      <w:r>
        <w:rPr>
          <w:rFonts w:hint="eastAsia" w:ascii="仿宋_GB2312" w:hAnsi="仿宋_GB2312" w:eastAsia="仿宋_GB2312" w:cs="仿宋_GB2312"/>
          <w:sz w:val="32"/>
          <w:szCs w:val="32"/>
          <w:highlight w:val="none"/>
          <w:u w:val="none"/>
        </w:rPr>
        <w:t>”</w:t>
      </w:r>
      <w:r>
        <w:rPr>
          <w:rFonts w:eastAsia="仿宋_GB2312"/>
          <w:sz w:val="32"/>
          <w:szCs w:val="32"/>
          <w:highlight w:val="none"/>
          <w:u w:val="none"/>
        </w:rPr>
        <w:t>网站下载企业信用报告</w:t>
      </w:r>
      <w:r>
        <w:rPr>
          <w:rFonts w:hint="eastAsia"/>
          <w:sz w:val="32"/>
          <w:szCs w:val="32"/>
          <w:highlight w:val="none"/>
          <w:u w:val="none"/>
          <w:lang w:eastAsia="zh-CN"/>
        </w:rPr>
        <w:t>，</w:t>
      </w:r>
      <w:r>
        <w:rPr>
          <w:rFonts w:hint="eastAsia"/>
          <w:sz w:val="32"/>
          <w:szCs w:val="32"/>
          <w:highlight w:val="none"/>
          <w:u w:val="none"/>
          <w:lang w:val="en-US" w:eastAsia="zh-CN"/>
        </w:rPr>
        <w:t>查询时间应在项目申报期内</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近三年无重大安全责任事故和严重违法乱纪案件；未被明确限制申请财政性资金项目；未拖欠应缴还的财政性资金；无正在进行有可能影响该单位正常经营活动的重大诉讼</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仲裁或执行案件。</w:t>
      </w:r>
    </w:p>
    <w:p w14:paraId="092F41E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（三）同一申报单位可同时申报多个项目，但不得将本属于同一性质与建设内容的项目进行拆分申报。不同的申报项目应有明确的建设内容、建设周期、实际投资金额和预期成效等。</w:t>
      </w:r>
    </w:p>
    <w:p w14:paraId="07ABF4A5">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四）分期建设的项目需进行政府独立备案、立项；软件类分期项目应在项目申报阶段，提交详细的分期建设方案，详细定义各阶段的功能模块及分阶段的具体业务目标、技术目标。若无相关分期备案立项，同一实施主体的多个项目存在“四证一书一点位”任意一项相同时，应认定为同一项目。其中，“四证一书”是指《国有土地使用证》《建设用地规划许可证》《建设工程规划许可证》《建设工程施工许可证》和《建设项目选址意见书》，“一点位”是指项目建设所在具体位置。</w:t>
      </w:r>
    </w:p>
    <w:p w14:paraId="2302F3A6">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（五）项目单位原则上需要提供由相关主管单位出具的</w:t>
      </w:r>
      <w:r>
        <w:rPr>
          <w:rFonts w:hint="eastAsia" w:ascii="仿宋_GB2312" w:hAnsi="仿宋_GB2312" w:eastAsia="仿宋_GB2312" w:cs="仿宋_GB2312"/>
          <w:sz w:val="32"/>
          <w:szCs w:val="32"/>
          <w:highlight w:val="none"/>
          <w:u w:val="none"/>
          <w:lang w:val="en-US" w:eastAsia="zh-CN"/>
        </w:rPr>
        <w:t>社会保险、依法纳税和缴纳社会保险费</w:t>
      </w:r>
      <w:r>
        <w:rPr>
          <w:rFonts w:hint="eastAsia" w:ascii="仿宋_GB2312" w:hAnsi="仿宋_GB2312" w:eastAsia="仿宋_GB2312" w:cs="仿宋_GB2312"/>
          <w:sz w:val="32"/>
          <w:szCs w:val="32"/>
          <w:highlight w:val="none"/>
          <w:u w:val="none"/>
        </w:rPr>
        <w:t>证明</w:t>
      </w:r>
      <w:r>
        <w:rPr>
          <w:rFonts w:hint="eastAsia" w:ascii="仿宋_GB2312" w:hAnsi="仿宋_GB2312" w:eastAsia="仿宋_GB2312" w:cs="仿宋_GB2312"/>
          <w:sz w:val="32"/>
          <w:szCs w:val="32"/>
          <w:highlight w:val="none"/>
          <w:u w:val="none"/>
          <w:lang w:eastAsia="zh-CN"/>
        </w:rPr>
        <w:t>（如依法免税或不需要纳税的，提供相应证明材料）</w:t>
      </w:r>
      <w:r>
        <w:rPr>
          <w:rFonts w:hint="eastAsia" w:ascii="仿宋_GB2312" w:hAnsi="仿宋_GB2312" w:eastAsia="仿宋_GB2312" w:cs="仿宋_GB2312"/>
          <w:sz w:val="32"/>
          <w:szCs w:val="32"/>
          <w:highlight w:val="none"/>
          <w:u w:val="none"/>
        </w:rPr>
        <w:t>。</w:t>
      </w:r>
    </w:p>
    <w:p w14:paraId="147DE2B5">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（六）申报单位愿意配合开展现代商贸流通体系试点工作，建立工作台账，企业内有明确的部门负责报送工作进展及相关数据，积极配合</w:t>
      </w:r>
      <w:bookmarkStart w:id="4" w:name="_Hlk200362378"/>
      <w:r>
        <w:rPr>
          <w:rFonts w:hint="eastAsia" w:ascii="仿宋_GB2312" w:hAnsi="仿宋_GB2312" w:eastAsia="仿宋_GB2312" w:cs="仿宋_GB2312"/>
          <w:sz w:val="32"/>
          <w:szCs w:val="32"/>
          <w:highlight w:val="none"/>
          <w:u w:val="none"/>
        </w:rPr>
        <w:t>相关部门完成统计监测、行业预警、信息咨询、宣传培训、调度审查等工作</w:t>
      </w:r>
      <w:bookmarkEnd w:id="4"/>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同时，为确保申报内容的真实性，申报单位需提供《企业申报项目相关内容承诺函》（相关要素内容见由独立第三方监理咨询机构制定的《长春市现代商贸流通体系试点城市建设日常监管制度》，下同）。</w:t>
      </w:r>
    </w:p>
    <w:p w14:paraId="11368B00">
      <w:pPr>
        <w:pStyle w:val="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十</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sz w:val="32"/>
          <w:szCs w:val="32"/>
          <w:highlight w:val="none"/>
          <w:u w:val="none"/>
        </w:rPr>
        <w:t xml:space="preserve"> 项目应符合以下条件：</w:t>
      </w:r>
    </w:p>
    <w:p w14:paraId="4983E14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（一）项目</w:t>
      </w:r>
      <w:r>
        <w:rPr>
          <w:rFonts w:hint="eastAsia" w:ascii="仿宋_GB2312" w:hAnsi="仿宋_GB2312" w:cs="仿宋_GB2312"/>
          <w:szCs w:val="32"/>
          <w:highlight w:val="none"/>
          <w:u w:val="none"/>
          <w:lang w:val="en-US" w:eastAsia="zh-CN"/>
        </w:rPr>
        <w:t>主要</w:t>
      </w:r>
      <w:r>
        <w:rPr>
          <w:rFonts w:hint="eastAsia" w:ascii="仿宋_GB2312" w:hAnsi="仿宋_GB2312" w:eastAsia="仿宋_GB2312" w:cs="仿宋_GB2312"/>
          <w:szCs w:val="32"/>
          <w:highlight w:val="none"/>
          <w:u w:val="none"/>
        </w:rPr>
        <w:t>服务地必须位于长春市行政区域内。</w:t>
      </w:r>
    </w:p>
    <w:p w14:paraId="056946D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rPr>
        <w:t>（二）项目建设内容符合现代商贸流通体系试点城市支持方向，在建项目开工时间原则上不早于2024年1月1日，且在2025年1月1日至2027年12月31日间建成。新建项目原则上需在2025年内开工，且在2027年12月31日前建成。建设时间以相关发票凭证时间为准</w:t>
      </w:r>
      <w:r>
        <w:rPr>
          <w:rFonts w:hint="eastAsia" w:ascii="仿宋_GB2312" w:hAnsi="仿宋_GB2312" w:cs="仿宋_GB2312"/>
          <w:szCs w:val="32"/>
          <w:highlight w:val="none"/>
          <w:u w:val="none"/>
          <w:lang w:eastAsia="zh-CN"/>
        </w:rPr>
        <w:t>。</w:t>
      </w:r>
    </w:p>
    <w:p w14:paraId="2836832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（三）项目有</w:t>
      </w:r>
      <w:bookmarkStart w:id="5" w:name="_Hlk200362496"/>
      <w:r>
        <w:rPr>
          <w:rFonts w:hint="eastAsia" w:ascii="仿宋_GB2312" w:hAnsi="仿宋_GB2312" w:eastAsia="仿宋_GB2312" w:cs="仿宋_GB2312"/>
          <w:szCs w:val="32"/>
          <w:highlight w:val="none"/>
          <w:u w:val="none"/>
        </w:rPr>
        <w:t>明确的实施方案</w:t>
      </w:r>
      <w:bookmarkEnd w:id="5"/>
      <w:r>
        <w:rPr>
          <w:rFonts w:hint="eastAsia" w:ascii="仿宋_GB2312" w:hAnsi="仿宋_GB2312" w:eastAsia="仿宋_GB2312" w:cs="仿宋_GB2312"/>
          <w:szCs w:val="32"/>
          <w:highlight w:val="none"/>
          <w:u w:val="none"/>
        </w:rPr>
        <w:t>，</w:t>
      </w:r>
      <w:bookmarkStart w:id="6" w:name="_Hlk200362513"/>
      <w:r>
        <w:rPr>
          <w:rFonts w:hint="eastAsia" w:ascii="仿宋_GB2312" w:hAnsi="仿宋_GB2312" w:eastAsia="仿宋_GB2312" w:cs="仿宋_GB2312"/>
          <w:szCs w:val="32"/>
          <w:highlight w:val="none"/>
          <w:u w:val="none"/>
        </w:rPr>
        <w:t>资金来源已落实并有合理的支出计划安排</w:t>
      </w:r>
      <w:bookmarkEnd w:id="6"/>
      <w:r>
        <w:rPr>
          <w:rFonts w:hint="eastAsia" w:ascii="仿宋_GB2312" w:hAnsi="仿宋_GB2312" w:eastAsia="仿宋_GB2312" w:cs="仿宋_GB2312"/>
          <w:szCs w:val="32"/>
          <w:highlight w:val="none"/>
          <w:u w:val="none"/>
        </w:rPr>
        <w:t>。</w:t>
      </w:r>
    </w:p>
    <w:p w14:paraId="2A3A58D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rPr>
        <w:t>（四）除生活必需品保供、县乡</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镇</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村物流快递站点布局</w:t>
      </w:r>
      <w:r>
        <w:rPr>
          <w:rFonts w:hint="eastAsia" w:ascii="仿宋_GB2312" w:hAnsi="仿宋_GB2312" w:eastAsia="仿宋_GB2312" w:cs="仿宋_GB2312"/>
          <w:szCs w:val="32"/>
          <w:highlight w:val="none"/>
          <w:u w:val="none"/>
          <w:lang w:val="en-US" w:eastAsia="zh-CN"/>
        </w:rPr>
        <w:t>和大力支持的新技术应用、新业态</w:t>
      </w:r>
      <w:r>
        <w:rPr>
          <w:rFonts w:hint="eastAsia" w:ascii="仿宋_GB2312" w:hAnsi="仿宋_GB2312" w:cs="仿宋_GB2312"/>
          <w:szCs w:val="32"/>
          <w:highlight w:val="none"/>
          <w:u w:val="none"/>
          <w:lang w:val="en-US" w:eastAsia="zh-CN"/>
        </w:rPr>
        <w:t>培育</w:t>
      </w:r>
      <w:r>
        <w:rPr>
          <w:rFonts w:hint="eastAsia" w:ascii="仿宋_GB2312" w:hAnsi="仿宋_GB2312" w:eastAsia="仿宋_GB2312" w:cs="仿宋_GB2312"/>
          <w:szCs w:val="32"/>
          <w:highlight w:val="none"/>
          <w:u w:val="none"/>
          <w:lang w:val="en-US" w:eastAsia="zh-CN"/>
        </w:rPr>
        <w:t>、新设施布局的项目</w:t>
      </w:r>
      <w:r>
        <w:rPr>
          <w:rFonts w:hint="eastAsia" w:ascii="仿宋_GB2312" w:hAnsi="仿宋_GB2312" w:cs="仿宋_GB2312"/>
          <w:szCs w:val="32"/>
          <w:highlight w:val="none"/>
          <w:u w:val="none"/>
          <w:lang w:val="en-US" w:eastAsia="zh-CN"/>
        </w:rPr>
        <w:t>，</w:t>
      </w:r>
      <w:r>
        <w:rPr>
          <w:rFonts w:hint="eastAsia" w:ascii="仿宋_GB2312" w:hAnsi="仿宋_GB2312" w:eastAsia="仿宋_GB2312" w:cs="仿宋_GB2312"/>
          <w:szCs w:val="32"/>
          <w:highlight w:val="none"/>
          <w:u w:val="none"/>
        </w:rPr>
        <w:t>以及</w:t>
      </w:r>
      <w:r>
        <w:rPr>
          <w:rFonts w:hint="eastAsia" w:ascii="仿宋_GB2312" w:hAnsi="仿宋_GB2312" w:cs="仿宋_GB2312"/>
          <w:szCs w:val="32"/>
          <w:highlight w:val="none"/>
          <w:u w:val="none"/>
          <w:lang w:val="en-US" w:eastAsia="zh-CN"/>
        </w:rPr>
        <w:t>公益</w:t>
      </w:r>
      <w:r>
        <w:rPr>
          <w:rFonts w:hint="eastAsia" w:ascii="仿宋_GB2312" w:hAnsi="仿宋_GB2312" w:eastAsia="仿宋_GB2312" w:cs="仿宋_GB2312"/>
          <w:szCs w:val="32"/>
          <w:highlight w:val="none"/>
          <w:u w:val="none"/>
        </w:rPr>
        <w:t>项目外，项目投资额不低于</w:t>
      </w:r>
      <w:r>
        <w:rPr>
          <w:rFonts w:hint="eastAsia" w:ascii="仿宋_GB2312" w:hAnsi="仿宋_GB2312" w:eastAsia="仿宋_GB2312" w:cs="仿宋_GB2312"/>
          <w:szCs w:val="32"/>
          <w:highlight w:val="none"/>
          <w:u w:val="none"/>
          <w:lang w:eastAsia="zh-CN"/>
        </w:rPr>
        <w:t>5</w:t>
      </w:r>
      <w:r>
        <w:rPr>
          <w:rFonts w:hint="eastAsia" w:ascii="仿宋_GB2312" w:hAnsi="仿宋_GB2312" w:eastAsia="仿宋_GB2312" w:cs="仿宋_GB2312"/>
          <w:szCs w:val="32"/>
          <w:highlight w:val="none"/>
          <w:u w:val="none"/>
          <w:lang w:val="en-US" w:eastAsia="zh-CN"/>
        </w:rPr>
        <w:t>00</w:t>
      </w:r>
      <w:r>
        <w:rPr>
          <w:rFonts w:hint="eastAsia" w:ascii="仿宋_GB2312" w:hAnsi="仿宋_GB2312" w:eastAsia="仿宋_GB2312" w:cs="仿宋_GB2312"/>
          <w:szCs w:val="32"/>
          <w:highlight w:val="none"/>
          <w:u w:val="none"/>
        </w:rPr>
        <w:t>万元。</w:t>
      </w:r>
    </w:p>
    <w:p w14:paraId="29F24C8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（五）申报项目如有土建内容的，应符合项目备案（核准）、环评、规划、土地、工程及建设等</w:t>
      </w:r>
      <w:bookmarkStart w:id="7" w:name="_Hlk200362528"/>
      <w:r>
        <w:rPr>
          <w:rFonts w:hint="eastAsia" w:ascii="仿宋_GB2312" w:hAnsi="仿宋_GB2312" w:eastAsia="仿宋_GB2312" w:cs="仿宋_GB2312"/>
          <w:szCs w:val="32"/>
          <w:highlight w:val="none"/>
          <w:u w:val="none"/>
        </w:rPr>
        <w:t>相关建设要求</w:t>
      </w:r>
      <w:bookmarkEnd w:id="7"/>
      <w:r>
        <w:rPr>
          <w:rFonts w:hint="eastAsia" w:ascii="仿宋_GB2312" w:hAnsi="仿宋_GB2312" w:eastAsia="仿宋_GB2312" w:cs="仿宋_GB2312"/>
          <w:szCs w:val="32"/>
          <w:highlight w:val="none"/>
          <w:u w:val="none"/>
        </w:rPr>
        <w:t>。项目涉及的土地、建设场所为租赁的，租赁期应覆盖项目建成期后两年，并提供房屋租赁合同</w:t>
      </w:r>
      <w:r>
        <w:rPr>
          <w:rFonts w:hint="eastAsia" w:ascii="仿宋_GB2312" w:hAnsi="仿宋_GB2312" w:cs="仿宋_GB2312"/>
          <w:szCs w:val="32"/>
          <w:highlight w:val="none"/>
          <w:u w:val="none"/>
          <w:lang w:val="en-US" w:eastAsia="zh-CN"/>
        </w:rPr>
        <w:t>和</w:t>
      </w:r>
      <w:r>
        <w:rPr>
          <w:rFonts w:hint="eastAsia" w:ascii="仿宋_GB2312" w:hAnsi="仿宋_GB2312" w:eastAsia="仿宋_GB2312" w:cs="仿宋_GB2312"/>
          <w:szCs w:val="32"/>
          <w:highlight w:val="none"/>
          <w:u w:val="none"/>
        </w:rPr>
        <w:t>租赁场所真实有效的其他佐证材料。</w:t>
      </w:r>
    </w:p>
    <w:p w14:paraId="519A009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（六）项目</w:t>
      </w:r>
      <w:bookmarkStart w:id="8" w:name="_Hlk200362537"/>
      <w:r>
        <w:rPr>
          <w:rFonts w:hint="eastAsia" w:ascii="仿宋_GB2312" w:hAnsi="仿宋_GB2312" w:eastAsia="仿宋_GB2312" w:cs="仿宋_GB2312"/>
          <w:szCs w:val="32"/>
          <w:highlight w:val="none"/>
          <w:u w:val="none"/>
        </w:rPr>
        <w:t>有明确具体的绩效目标</w:t>
      </w:r>
      <w:bookmarkEnd w:id="8"/>
      <w:r>
        <w:rPr>
          <w:rFonts w:hint="eastAsia" w:ascii="仿宋_GB2312" w:hAnsi="仿宋_GB2312" w:eastAsia="仿宋_GB2312" w:cs="仿宋_GB2312"/>
          <w:szCs w:val="32"/>
          <w:highlight w:val="none"/>
          <w:u w:val="none"/>
        </w:rPr>
        <w:t>，绩效目标清晰、合理、可考核，项目建设过程中，绩效目标将作为自评、三方考核等工作的重要依据</w:t>
      </w:r>
      <w:r>
        <w:rPr>
          <w:rFonts w:hint="eastAsia" w:ascii="仿宋_GB2312" w:hAnsi="仿宋_GB2312" w:eastAsia="仿宋_GB2312" w:cs="仿宋_GB2312"/>
          <w:szCs w:val="32"/>
          <w:highlight w:val="none"/>
          <w:u w:val="none"/>
          <w:lang w:eastAsia="zh-CN"/>
        </w:rPr>
        <w:t>。其中，自评</w:t>
      </w:r>
      <w:r>
        <w:rPr>
          <w:rFonts w:hint="eastAsia" w:ascii="仿宋_GB2312" w:hAnsi="仿宋_GB2312" w:eastAsia="仿宋_GB2312" w:cs="仿宋_GB2312"/>
          <w:szCs w:val="32"/>
          <w:highlight w:val="none"/>
          <w:u w:val="none"/>
          <w:lang w:val="en-US" w:eastAsia="zh-CN"/>
        </w:rPr>
        <w:t>材料需</w:t>
      </w:r>
      <w:r>
        <w:rPr>
          <w:rFonts w:hint="eastAsia" w:ascii="仿宋_GB2312" w:hAnsi="仿宋_GB2312" w:eastAsia="仿宋_GB2312" w:cs="仿宋_GB2312"/>
          <w:szCs w:val="32"/>
          <w:highlight w:val="none"/>
          <w:u w:val="none"/>
          <w:lang w:eastAsia="zh-CN"/>
        </w:rPr>
        <w:t>由</w:t>
      </w:r>
      <w:r>
        <w:rPr>
          <w:rFonts w:hint="eastAsia" w:ascii="仿宋_GB2312" w:hAnsi="仿宋_GB2312" w:eastAsia="仿宋_GB2312" w:cs="仿宋_GB2312"/>
          <w:szCs w:val="32"/>
          <w:highlight w:val="none"/>
          <w:u w:val="none"/>
          <w:lang w:val="en-US" w:eastAsia="zh-CN"/>
        </w:rPr>
        <w:t>企业主要负责人、部门负责人或项目执行相关负责人</w:t>
      </w:r>
      <w:r>
        <w:rPr>
          <w:rFonts w:hint="eastAsia" w:ascii="仿宋_GB2312" w:hAnsi="仿宋_GB2312" w:eastAsia="仿宋_GB2312" w:cs="仿宋_GB2312"/>
          <w:szCs w:val="32"/>
          <w:highlight w:val="none"/>
          <w:u w:val="none"/>
          <w:lang w:eastAsia="zh-CN"/>
        </w:rPr>
        <w:t>签字</w:t>
      </w:r>
      <w:r>
        <w:rPr>
          <w:rFonts w:hint="eastAsia" w:ascii="仿宋_GB2312" w:hAnsi="仿宋_GB2312" w:eastAsia="仿宋_GB2312" w:cs="仿宋_GB2312"/>
          <w:szCs w:val="32"/>
          <w:highlight w:val="none"/>
          <w:u w:val="none"/>
          <w:lang w:val="en-US" w:eastAsia="zh-CN"/>
        </w:rPr>
        <w:t>确认</w:t>
      </w:r>
      <w:r>
        <w:rPr>
          <w:rFonts w:hint="eastAsia" w:ascii="仿宋_GB2312" w:hAnsi="仿宋_GB2312" w:eastAsia="仿宋_GB2312" w:cs="仿宋_GB2312"/>
          <w:szCs w:val="32"/>
          <w:highlight w:val="none"/>
          <w:u w:val="none"/>
        </w:rPr>
        <w:t>。</w:t>
      </w:r>
    </w:p>
    <w:p w14:paraId="2DC161C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val="en-US"/>
        </w:rPr>
      </w:pPr>
      <w:r>
        <w:rPr>
          <w:rFonts w:hint="eastAsia" w:ascii="仿宋_GB2312" w:hAnsi="仿宋_GB2312" w:eastAsia="仿宋_GB2312" w:cs="仿宋_GB2312"/>
          <w:szCs w:val="32"/>
          <w:highlight w:val="none"/>
          <w:u w:val="none"/>
        </w:rPr>
        <w:t>（七）</w:t>
      </w:r>
      <w:r>
        <w:rPr>
          <w:rFonts w:hint="eastAsia" w:ascii="仿宋_GB2312" w:hAnsi="仿宋_GB2312" w:eastAsia="仿宋_GB2312" w:cs="仿宋_GB2312"/>
          <w:szCs w:val="32"/>
          <w:highlight w:val="none"/>
          <w:u w:val="none"/>
          <w:lang w:val="en-US" w:eastAsia="zh-CN"/>
        </w:rPr>
        <w:t>由</w:t>
      </w:r>
      <w:r>
        <w:rPr>
          <w:rFonts w:hint="eastAsia" w:ascii="仿宋_GB2312" w:hAnsi="仿宋_GB2312" w:eastAsia="仿宋_GB2312" w:cs="仿宋_GB2312"/>
          <w:szCs w:val="32"/>
          <w:highlight w:val="none"/>
          <w:u w:val="none"/>
        </w:rPr>
        <w:t>独立第三方监理咨询</w:t>
      </w:r>
      <w:r>
        <w:rPr>
          <w:rFonts w:hint="eastAsia" w:ascii="仿宋_GB2312" w:hAnsi="仿宋_GB2312" w:eastAsia="仿宋_GB2312" w:cs="仿宋_GB2312"/>
          <w:szCs w:val="32"/>
          <w:highlight w:val="none"/>
          <w:u w:val="none"/>
          <w:lang w:val="en-US" w:eastAsia="zh-CN"/>
        </w:rPr>
        <w:t>机构</w:t>
      </w:r>
      <w:r>
        <w:rPr>
          <w:rFonts w:hint="eastAsia" w:ascii="仿宋_GB2312" w:hAnsi="仿宋_GB2312" w:eastAsia="仿宋_GB2312" w:cs="仿宋_GB2312"/>
          <w:szCs w:val="32"/>
          <w:highlight w:val="none"/>
          <w:u w:val="none"/>
        </w:rPr>
        <w:t>制定</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lang w:val="en-US" w:eastAsia="zh-CN"/>
        </w:rPr>
        <w:t>长春市现代商贸流通体系试点城市建设日常监管制度</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lang w:val="en-US" w:eastAsia="zh-CN"/>
        </w:rPr>
        <w:t>对</w:t>
      </w:r>
      <w:r>
        <w:rPr>
          <w:rFonts w:hint="eastAsia" w:ascii="仿宋_GB2312" w:hAnsi="仿宋_GB2312" w:eastAsia="仿宋_GB2312" w:cs="仿宋_GB2312"/>
          <w:szCs w:val="32"/>
          <w:highlight w:val="none"/>
          <w:u w:val="none"/>
        </w:rPr>
        <w:t>项目不</w:t>
      </w:r>
      <w:bookmarkStart w:id="9" w:name="_Hlk200362553"/>
      <w:r>
        <w:rPr>
          <w:rFonts w:hint="eastAsia" w:ascii="仿宋_GB2312" w:hAnsi="仿宋_GB2312" w:eastAsia="仿宋_GB2312" w:cs="仿宋_GB2312"/>
          <w:szCs w:val="32"/>
          <w:highlight w:val="none"/>
          <w:u w:val="none"/>
        </w:rPr>
        <w:t>存在重复或多头申报的情形，没有享受中央财政资金扶持、中央基建投资且未申请超长期国债</w:t>
      </w:r>
      <w:bookmarkEnd w:id="9"/>
      <w:r>
        <w:rPr>
          <w:rFonts w:hint="eastAsia" w:ascii="仿宋_GB2312" w:hAnsi="仿宋_GB2312" w:eastAsia="仿宋_GB2312" w:cs="仿宋_GB2312"/>
          <w:szCs w:val="32"/>
          <w:highlight w:val="none"/>
          <w:u w:val="none"/>
        </w:rPr>
        <w:t>、地方政府专项债券</w:t>
      </w:r>
      <w:r>
        <w:rPr>
          <w:rFonts w:hint="eastAsia" w:ascii="仿宋_GB2312" w:hAnsi="仿宋_GB2312" w:cs="仿宋_GB2312"/>
          <w:szCs w:val="32"/>
          <w:highlight w:val="none"/>
          <w:u w:val="none"/>
          <w:lang w:val="en-US" w:eastAsia="zh-CN"/>
        </w:rPr>
        <w:t>的</w:t>
      </w:r>
      <w:r>
        <w:rPr>
          <w:rFonts w:hint="eastAsia" w:ascii="仿宋_GB2312" w:hAnsi="仿宋_GB2312" w:eastAsia="仿宋_GB2312" w:cs="仿宋_GB2312"/>
          <w:szCs w:val="32"/>
          <w:highlight w:val="none"/>
          <w:u w:val="none"/>
          <w:lang w:val="en-US" w:eastAsia="zh-CN"/>
        </w:rPr>
        <w:t>情况进行核查。</w:t>
      </w:r>
    </w:p>
    <w:p w14:paraId="0BAF96D8">
      <w:pPr>
        <w:pStyle w:val="4"/>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Cs w:val="32"/>
          <w:highlight w:val="none"/>
          <w:u w:val="none"/>
        </w:rPr>
        <w:t>（八）涉及具有明显公益属性，作为政府宏观调控、保供稳价、服务民生的项目，需要与政府签订合同或协议，明确项目单位需要承担的工作和履行的责任</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lang w:val="en-US" w:eastAsia="zh-CN"/>
        </w:rPr>
        <w:t>并主动</w:t>
      </w:r>
      <w:r>
        <w:rPr>
          <w:rFonts w:hint="eastAsia" w:ascii="仿宋_GB2312" w:hAnsi="仿宋_GB2312" w:eastAsia="仿宋_GB2312" w:cs="仿宋_GB2312"/>
          <w:sz w:val="32"/>
          <w:szCs w:val="32"/>
          <w:highlight w:val="none"/>
          <w:u w:val="none"/>
          <w:lang w:val="en-US" w:eastAsia="zh-CN"/>
        </w:rPr>
        <w:t>提供《企业申报项目相关内容承诺函》。</w:t>
      </w:r>
    </w:p>
    <w:p w14:paraId="6A935EA3">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第十</w:t>
      </w:r>
      <w:r>
        <w:rPr>
          <w:rFonts w:hint="eastAsia" w:ascii="仿宋_GB2312" w:hAnsi="仿宋_GB2312" w:eastAsia="仿宋_GB2312" w:cs="仿宋_GB2312"/>
          <w:b/>
          <w:bCs/>
          <w:szCs w:val="32"/>
          <w:highlight w:val="none"/>
          <w:u w:val="none"/>
          <w:lang w:val="en-US" w:eastAsia="zh-CN"/>
        </w:rPr>
        <w:t>一</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w:t>
      </w:r>
      <w:bookmarkStart w:id="10" w:name="_Hlk200362694"/>
      <w:r>
        <w:rPr>
          <w:rFonts w:hint="eastAsia" w:ascii="仿宋_GB2312" w:hAnsi="仿宋_GB2312" w:eastAsia="仿宋_GB2312" w:cs="仿宋_GB2312"/>
          <w:szCs w:val="32"/>
          <w:highlight w:val="none"/>
          <w:u w:val="none"/>
        </w:rPr>
        <w:t>由市商务局制定申报指南（通知），通过市商务局、市城管局（仅参加再生资源回收方向相关项目）网站等官方平台组织企业进行申报。按照属地原则，由申报单位在规定时间内向申报主体所在地（域外投资项目以项目所在地为准）的县（市）区商务、城管（</w:t>
      </w:r>
      <w:bookmarkStart w:id="11" w:name="OLE_LINK8"/>
      <w:bookmarkStart w:id="12" w:name="OLE_LINK9"/>
      <w:r>
        <w:rPr>
          <w:rFonts w:hint="eastAsia" w:ascii="仿宋_GB2312" w:hAnsi="仿宋_GB2312" w:eastAsia="仿宋_GB2312" w:cs="仿宋_GB2312"/>
          <w:szCs w:val="32"/>
          <w:highlight w:val="none"/>
          <w:u w:val="none"/>
        </w:rPr>
        <w:t>仅参加再生资源回收方向相关项目</w:t>
      </w:r>
      <w:bookmarkEnd w:id="11"/>
      <w:bookmarkEnd w:id="12"/>
      <w:r>
        <w:rPr>
          <w:rFonts w:hint="eastAsia" w:ascii="仿宋_GB2312" w:hAnsi="仿宋_GB2312" w:eastAsia="仿宋_GB2312" w:cs="仿宋_GB2312"/>
          <w:szCs w:val="32"/>
          <w:highlight w:val="none"/>
          <w:u w:val="none"/>
        </w:rPr>
        <w:t>）</w:t>
      </w:r>
      <w:bookmarkStart w:id="13" w:name="OLE_LINK7"/>
      <w:r>
        <w:rPr>
          <w:rFonts w:hint="eastAsia" w:ascii="仿宋_GB2312" w:hAnsi="仿宋_GB2312" w:eastAsia="仿宋_GB2312" w:cs="仿宋_GB2312"/>
          <w:szCs w:val="32"/>
          <w:highlight w:val="none"/>
          <w:u w:val="none"/>
        </w:rPr>
        <w:t>等</w:t>
      </w:r>
      <w:bookmarkEnd w:id="13"/>
      <w:r>
        <w:rPr>
          <w:rFonts w:hint="eastAsia" w:ascii="仿宋_GB2312" w:hAnsi="仿宋_GB2312" w:eastAsia="仿宋_GB2312" w:cs="仿宋_GB2312"/>
          <w:szCs w:val="32"/>
          <w:highlight w:val="none"/>
          <w:u w:val="none"/>
        </w:rPr>
        <w:t>主管部门提报申报通知要求的材料。各县（市）区商务、城管（仅参加再生资源回收方向相关项目）等主管部门对申报材料进行初审，并将通过初审的项目清单及相关材料盖章后上报至市商务局、</w:t>
      </w:r>
      <w:bookmarkStart w:id="14" w:name="OLE_LINK6"/>
      <w:r>
        <w:rPr>
          <w:rFonts w:hint="eastAsia" w:ascii="仿宋_GB2312" w:hAnsi="仿宋_GB2312" w:eastAsia="仿宋_GB2312" w:cs="仿宋_GB2312"/>
          <w:szCs w:val="32"/>
          <w:highlight w:val="none"/>
          <w:u w:val="none"/>
        </w:rPr>
        <w:t>市城管局</w:t>
      </w:r>
      <w:bookmarkEnd w:id="14"/>
      <w:r>
        <w:rPr>
          <w:rFonts w:hint="eastAsia" w:ascii="仿宋_GB2312" w:hAnsi="仿宋_GB2312" w:eastAsia="仿宋_GB2312" w:cs="仿宋_GB2312"/>
          <w:szCs w:val="32"/>
          <w:highlight w:val="none"/>
          <w:u w:val="none"/>
        </w:rPr>
        <w:t>（仅参加再生资源回收方向相关项目）。再生资源回收方向相关项目经市城管局审核后提交市商务局。</w:t>
      </w:r>
      <w:bookmarkEnd w:id="10"/>
    </w:p>
    <w:p w14:paraId="454E4905">
      <w:pPr>
        <w:pStyle w:val="4"/>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第十</w:t>
      </w:r>
      <w:r>
        <w:rPr>
          <w:rFonts w:hint="eastAsia" w:ascii="仿宋_GB2312" w:hAnsi="仿宋_GB2312" w:eastAsia="仿宋_GB2312" w:cs="仿宋_GB2312"/>
          <w:b/>
          <w:bCs/>
          <w:szCs w:val="32"/>
          <w:highlight w:val="none"/>
          <w:u w:val="none"/>
          <w:lang w:val="en-US" w:eastAsia="zh-CN"/>
        </w:rPr>
        <w:t>二</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所有申报项目必须经行业主管部门初审，未出具行业主管部门书面初审意见的项目不纳入项目库。</w:t>
      </w:r>
    </w:p>
    <w:p w14:paraId="7DC4718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Cs w:val="32"/>
          <w:highlight w:val="none"/>
          <w:u w:val="none"/>
          <w:lang w:val="en-US" w:eastAsia="zh-CN"/>
        </w:rPr>
      </w:pPr>
      <w:r>
        <w:rPr>
          <w:rFonts w:hint="eastAsia" w:ascii="仿宋_GB2312" w:hAnsi="仿宋_GB2312" w:eastAsia="仿宋_GB2312" w:cs="仿宋_GB2312"/>
          <w:b/>
          <w:bCs/>
          <w:szCs w:val="32"/>
          <w:highlight w:val="none"/>
          <w:u w:val="none"/>
        </w:rPr>
        <w:t>第十</w:t>
      </w:r>
      <w:r>
        <w:rPr>
          <w:rFonts w:hint="eastAsia" w:ascii="仿宋_GB2312" w:hAnsi="仿宋_GB2312" w:eastAsia="仿宋_GB2312" w:cs="仿宋_GB2312"/>
          <w:b/>
          <w:bCs/>
          <w:szCs w:val="32"/>
          <w:highlight w:val="none"/>
          <w:u w:val="none"/>
          <w:lang w:val="en-US" w:eastAsia="zh-CN"/>
        </w:rPr>
        <w:t>三</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按照公开、公平、公正、好中选优原则，经独立第三方监理咨询机构全程监督，通过组织专家审核书面材料、现场踏查、企业答辩等方式确定</w:t>
      </w:r>
      <w:r>
        <w:rPr>
          <w:rFonts w:hint="eastAsia" w:ascii="仿宋_GB2312" w:hAnsi="仿宋_GB2312" w:eastAsia="仿宋_GB2312" w:cs="仿宋_GB2312"/>
          <w:color w:val="auto"/>
          <w:szCs w:val="32"/>
          <w:highlight w:val="none"/>
          <w:u w:val="none"/>
        </w:rPr>
        <w:t>拟入</w:t>
      </w:r>
      <w:r>
        <w:rPr>
          <w:rFonts w:hint="eastAsia" w:ascii="仿宋_GB2312" w:hAnsi="仿宋_GB2312" w:cs="仿宋_GB2312"/>
          <w:color w:val="auto"/>
          <w:szCs w:val="32"/>
          <w:highlight w:val="none"/>
          <w:u w:val="none"/>
          <w:lang w:val="en-US" w:eastAsia="zh-CN"/>
        </w:rPr>
        <w:t>实施</w:t>
      </w:r>
      <w:r>
        <w:rPr>
          <w:rFonts w:hint="eastAsia" w:ascii="仿宋_GB2312" w:hAnsi="仿宋_GB2312" w:eastAsia="仿宋_GB2312" w:cs="仿宋_GB2312"/>
          <w:color w:val="auto"/>
          <w:szCs w:val="32"/>
          <w:highlight w:val="none"/>
          <w:u w:val="none"/>
        </w:rPr>
        <w:t>库项目后，</w:t>
      </w:r>
      <w:r>
        <w:rPr>
          <w:rFonts w:hint="eastAsia" w:ascii="仿宋_GB2312" w:hAnsi="仿宋_GB2312" w:eastAsia="仿宋_GB2312" w:cs="仿宋_GB2312"/>
          <w:szCs w:val="32"/>
          <w:highlight w:val="none"/>
          <w:u w:val="none"/>
        </w:rPr>
        <w:t>经行业主管部门确认，按规定向社会公示</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公示时间不少于7天</w:t>
      </w:r>
      <w:bookmarkStart w:id="15" w:name="_Hlk200362725"/>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公示期满无异议或异议不成立的，正式列入</w:t>
      </w:r>
      <w:r>
        <w:rPr>
          <w:rFonts w:hint="eastAsia" w:ascii="仿宋_GB2312" w:hAnsi="仿宋_GB2312" w:cs="仿宋_GB2312"/>
          <w:szCs w:val="32"/>
          <w:highlight w:val="none"/>
          <w:u w:val="none"/>
          <w:lang w:val="en-US" w:eastAsia="zh-CN"/>
        </w:rPr>
        <w:t>实施</w:t>
      </w:r>
      <w:r>
        <w:rPr>
          <w:rFonts w:hint="eastAsia" w:ascii="仿宋_GB2312" w:hAnsi="仿宋_GB2312" w:eastAsia="仿宋_GB2312" w:cs="仿宋_GB2312"/>
          <w:szCs w:val="32"/>
          <w:highlight w:val="none"/>
          <w:u w:val="none"/>
        </w:rPr>
        <w:t>项目库。</w:t>
      </w:r>
      <w:bookmarkEnd w:id="15"/>
      <w:r>
        <w:rPr>
          <w:rFonts w:hint="eastAsia" w:ascii="仿宋_GB2312" w:hAnsi="仿宋_GB2312" w:cs="仿宋_GB2312"/>
          <w:szCs w:val="32"/>
          <w:highlight w:val="none"/>
          <w:u w:val="none"/>
          <w:lang w:val="en-US" w:eastAsia="zh-CN"/>
        </w:rPr>
        <w:t>项目申报单位</w:t>
      </w:r>
      <w:r>
        <w:rPr>
          <w:rFonts w:hint="eastAsia" w:ascii="仿宋_GB2312" w:hAnsi="仿宋_GB2312" w:eastAsia="仿宋_GB2312" w:cs="仿宋_GB2312"/>
          <w:szCs w:val="32"/>
          <w:highlight w:val="none"/>
          <w:u w:val="none"/>
        </w:rPr>
        <w:t>需要与</w:t>
      </w:r>
      <w:r>
        <w:rPr>
          <w:rFonts w:hint="eastAsia" w:ascii="仿宋_GB2312" w:hAnsi="仿宋_GB2312" w:cs="仿宋_GB2312"/>
          <w:szCs w:val="32"/>
          <w:highlight w:val="none"/>
          <w:u w:val="none"/>
          <w:lang w:val="en-US" w:eastAsia="zh-CN"/>
        </w:rPr>
        <w:t>行业主管部门</w:t>
      </w:r>
      <w:r>
        <w:rPr>
          <w:rFonts w:hint="eastAsia" w:ascii="仿宋_GB2312" w:hAnsi="仿宋_GB2312" w:eastAsia="仿宋_GB2312" w:cs="仿宋_GB2312"/>
          <w:szCs w:val="32"/>
          <w:highlight w:val="none"/>
          <w:u w:val="none"/>
        </w:rPr>
        <w:t>签订</w:t>
      </w:r>
      <w:r>
        <w:rPr>
          <w:rFonts w:hint="eastAsia" w:ascii="仿宋_GB2312" w:hAnsi="仿宋_GB2312" w:cs="仿宋_GB2312"/>
          <w:szCs w:val="32"/>
          <w:highlight w:val="none"/>
          <w:u w:val="none"/>
          <w:lang w:val="en-US" w:eastAsia="zh-CN"/>
        </w:rPr>
        <w:t>专项资金补助协议，协议内容</w:t>
      </w:r>
      <w:r>
        <w:rPr>
          <w:rFonts w:hint="eastAsia" w:ascii="仿宋_GB2312" w:hAnsi="仿宋_GB2312" w:eastAsia="仿宋_GB2312" w:cs="仿宋_GB2312"/>
          <w:szCs w:val="32"/>
          <w:highlight w:val="none"/>
          <w:u w:val="none"/>
        </w:rPr>
        <w:t>包含但不限于</w:t>
      </w:r>
      <w:r>
        <w:rPr>
          <w:rFonts w:hint="eastAsia" w:ascii="仿宋_GB2312" w:hAnsi="仿宋_GB2312" w:cs="仿宋_GB2312"/>
          <w:szCs w:val="32"/>
          <w:highlight w:val="none"/>
          <w:u w:val="none"/>
          <w:lang w:eastAsia="zh-CN"/>
        </w:rPr>
        <w:t>主体适格性、权利义务界定、专项资金监管、违约责任约定、争议解决方式</w:t>
      </w:r>
      <w:r>
        <w:rPr>
          <w:rFonts w:hint="eastAsia" w:ascii="仿宋_GB2312" w:hAnsi="仿宋_GB2312" w:cs="仿宋_GB2312"/>
          <w:szCs w:val="32"/>
          <w:highlight w:val="none"/>
          <w:u w:val="none"/>
          <w:lang w:val="en-US" w:eastAsia="zh-CN"/>
        </w:rPr>
        <w:t>等内容</w:t>
      </w:r>
      <w:r>
        <w:rPr>
          <w:rFonts w:hint="eastAsia" w:ascii="仿宋_GB2312" w:hAnsi="仿宋_GB2312" w:cs="仿宋_GB2312"/>
          <w:szCs w:val="32"/>
          <w:highlight w:val="none"/>
          <w:u w:val="none"/>
          <w:lang w:eastAsia="zh-CN"/>
        </w:rPr>
        <w:t>。</w:t>
      </w:r>
    </w:p>
    <w:p w14:paraId="4B936051">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第十</w:t>
      </w:r>
      <w:r>
        <w:rPr>
          <w:rFonts w:hint="eastAsia" w:ascii="仿宋_GB2312" w:hAnsi="仿宋_GB2312" w:eastAsia="仿宋_GB2312" w:cs="仿宋_GB2312"/>
          <w:b/>
          <w:bCs/>
          <w:szCs w:val="32"/>
          <w:highlight w:val="none"/>
          <w:u w:val="none"/>
          <w:lang w:val="en-US" w:eastAsia="zh-CN"/>
        </w:rPr>
        <w:t>四</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市商务局牵头建立现代商贸流通体系试点城市实施项目库，对符合条件的申报项目进行动态管理，明确项目名称、项目类型、承办单位、建设期限、建设地点、建设内容、实现功能、投入资金等具体信息。</w:t>
      </w:r>
    </w:p>
    <w:p w14:paraId="2775F3F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Cs w:val="32"/>
          <w:highlight w:val="none"/>
          <w:u w:val="none"/>
        </w:rPr>
      </w:pPr>
      <w:r>
        <w:rPr>
          <w:rFonts w:hint="eastAsia" w:ascii="黑体" w:hAnsi="黑体" w:eastAsia="黑体" w:cs="黑体"/>
          <w:szCs w:val="32"/>
          <w:highlight w:val="none"/>
          <w:u w:val="none"/>
        </w:rPr>
        <w:t>第四章  项目分级与管理</w:t>
      </w:r>
    </w:p>
    <w:p w14:paraId="71A408CB">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bookmarkStart w:id="16" w:name="OLE_LINK2"/>
      <w:bookmarkStart w:id="17" w:name="OLE_LINK3"/>
      <w:r>
        <w:rPr>
          <w:rFonts w:hint="eastAsia" w:ascii="仿宋_GB2312" w:hAnsi="仿宋_GB2312" w:eastAsia="仿宋_GB2312" w:cs="仿宋_GB2312"/>
          <w:b/>
          <w:bCs/>
          <w:szCs w:val="32"/>
          <w:highlight w:val="none"/>
          <w:u w:val="none"/>
        </w:rPr>
        <w:t>第十</w:t>
      </w:r>
      <w:r>
        <w:rPr>
          <w:rFonts w:hint="eastAsia" w:ascii="仿宋_GB2312" w:hAnsi="仿宋_GB2312" w:eastAsia="仿宋_GB2312" w:cs="仿宋_GB2312"/>
          <w:b/>
          <w:bCs/>
          <w:szCs w:val="32"/>
          <w:highlight w:val="none"/>
          <w:u w:val="none"/>
          <w:lang w:val="en-US" w:eastAsia="zh-CN"/>
        </w:rPr>
        <w:t>五</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针对生活必需品保供项目，建立独立项目库，进行分级评定，分级依照以下原则：</w:t>
      </w:r>
    </w:p>
    <w:p w14:paraId="4B224612">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（一）一类项目：市级保供项目，建设内容符合试点建设重点支持方向，保供范围应覆盖或辐射全市。定位为全市性骨干保供</w:t>
      </w:r>
      <w:r>
        <w:rPr>
          <w:rFonts w:hint="eastAsia" w:ascii="仿宋_GB2312" w:hAnsi="仿宋_GB2312" w:eastAsia="仿宋_GB2312" w:cs="仿宋_GB2312"/>
          <w:sz w:val="32"/>
          <w:szCs w:val="32"/>
          <w:highlight w:val="none"/>
          <w:u w:val="none"/>
          <w:lang w:val="en-US" w:eastAsia="zh-CN"/>
        </w:rPr>
        <w:t>枢纽</w:t>
      </w:r>
      <w:r>
        <w:rPr>
          <w:rFonts w:hint="eastAsia" w:ascii="仿宋_GB2312" w:hAnsi="仿宋_GB2312" w:eastAsia="仿宋_GB2312" w:cs="仿宋_GB2312"/>
          <w:sz w:val="32"/>
          <w:szCs w:val="32"/>
          <w:highlight w:val="none"/>
          <w:u w:val="none"/>
        </w:rPr>
        <w:t>，具有显著的产业辐射能力与民生保障带动效应。</w:t>
      </w:r>
    </w:p>
    <w:p w14:paraId="43FDE7F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rPr>
        <w:t>（二）二类项目：县（市）区级保供项目，建设内容符合支持方向，保供范围应实现所在县（市）区基本覆盖，聚焦于区域性与末端保供节点的功能</w:t>
      </w:r>
      <w:r>
        <w:rPr>
          <w:rFonts w:hint="eastAsia" w:ascii="仿宋_GB2312" w:hAnsi="仿宋_GB2312" w:cs="仿宋_GB2312"/>
          <w:szCs w:val="32"/>
          <w:highlight w:val="none"/>
          <w:u w:val="none"/>
          <w:lang w:val="en-US" w:eastAsia="zh-CN"/>
        </w:rPr>
        <w:t>优化</w:t>
      </w:r>
      <w:r>
        <w:rPr>
          <w:rFonts w:hint="eastAsia" w:ascii="仿宋_GB2312" w:hAnsi="仿宋_GB2312" w:eastAsia="仿宋_GB2312" w:cs="仿宋_GB2312"/>
          <w:szCs w:val="32"/>
          <w:highlight w:val="none"/>
          <w:u w:val="none"/>
        </w:rPr>
        <w:t>与效能提升，强化保供网络终端韧性与服务效能。</w:t>
      </w:r>
    </w:p>
    <w:p w14:paraId="7D8A083E">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（三）三类项目：除一类、二类外的其他保供项目及农贸市场改造提升项目。</w:t>
      </w:r>
    </w:p>
    <w:p w14:paraId="46AC7E4E">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类项目、三类项目由各县（市）区商务主管部门向市商务局进行推荐。原则上，各县（市）区商务主管部门推荐的二类项目不多于2个，三类保供项目不多于8个。申报单位可用于生活必需品保供的数据需接入信息监测和预测预警平台（平台建设不完善时，向市商务局市场运行和消费品促进处按时报送）。</w:t>
      </w:r>
    </w:p>
    <w:p w14:paraId="2E7707C3">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第十</w:t>
      </w:r>
      <w:r>
        <w:rPr>
          <w:rFonts w:hint="eastAsia" w:ascii="仿宋_GB2312" w:hAnsi="仿宋_GB2312" w:eastAsia="仿宋_GB2312" w:cs="仿宋_GB2312"/>
          <w:b/>
          <w:bCs/>
          <w:szCs w:val="32"/>
          <w:highlight w:val="none"/>
          <w:u w:val="none"/>
          <w:lang w:val="en-US" w:eastAsia="zh-CN"/>
        </w:rPr>
        <w:t>六</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对除生活必需品保供</w:t>
      </w:r>
      <w:r>
        <w:rPr>
          <w:rFonts w:hint="eastAsia" w:ascii="仿宋_GB2312" w:hAnsi="仿宋_GB2312" w:eastAsia="仿宋_GB2312" w:cs="仿宋_GB2312"/>
          <w:szCs w:val="32"/>
          <w:highlight w:val="none"/>
          <w:u w:val="none"/>
          <w:lang w:val="en-US" w:eastAsia="zh-CN"/>
        </w:rPr>
        <w:t>方向的项目</w:t>
      </w:r>
      <w:r>
        <w:rPr>
          <w:rFonts w:hint="eastAsia" w:ascii="仿宋_GB2312" w:hAnsi="仿宋_GB2312" w:eastAsia="仿宋_GB2312" w:cs="仿宋_GB2312"/>
          <w:szCs w:val="32"/>
          <w:highlight w:val="none"/>
          <w:u w:val="none"/>
        </w:rPr>
        <w:t>以及</w:t>
      </w:r>
      <w:r>
        <w:rPr>
          <w:rFonts w:hint="eastAsia" w:ascii="仿宋_GB2312" w:hAnsi="仿宋_GB2312" w:cs="仿宋_GB2312"/>
          <w:szCs w:val="32"/>
          <w:highlight w:val="none"/>
          <w:u w:val="none"/>
          <w:lang w:val="en-US" w:eastAsia="zh-CN"/>
        </w:rPr>
        <w:t>公益</w:t>
      </w:r>
      <w:r>
        <w:rPr>
          <w:rFonts w:hint="eastAsia" w:ascii="仿宋_GB2312" w:hAnsi="仿宋_GB2312" w:eastAsia="仿宋_GB2312" w:cs="仿宋_GB2312"/>
          <w:szCs w:val="32"/>
          <w:highlight w:val="none"/>
          <w:u w:val="none"/>
        </w:rPr>
        <w:t>项目</w:t>
      </w:r>
      <w:r>
        <w:rPr>
          <w:rFonts w:hint="eastAsia" w:ascii="仿宋_GB2312" w:hAnsi="仿宋_GB2312" w:eastAsia="仿宋_GB2312" w:cs="仿宋_GB2312"/>
          <w:szCs w:val="32"/>
          <w:highlight w:val="none"/>
          <w:u w:val="none"/>
          <w:lang w:val="en-US" w:eastAsia="zh-CN"/>
        </w:rPr>
        <w:t>的</w:t>
      </w:r>
      <w:r>
        <w:rPr>
          <w:rFonts w:hint="eastAsia" w:ascii="仿宋_GB2312" w:hAnsi="仿宋_GB2312" w:eastAsia="仿宋_GB2312" w:cs="仿宋_GB2312"/>
          <w:szCs w:val="32"/>
          <w:highlight w:val="none"/>
          <w:u w:val="none"/>
        </w:rPr>
        <w:t>其他项目建立</w:t>
      </w:r>
      <w:bookmarkStart w:id="18" w:name="_Hlk200362936"/>
      <w:r>
        <w:rPr>
          <w:rFonts w:hint="eastAsia" w:ascii="仿宋_GB2312" w:hAnsi="仿宋_GB2312" w:eastAsia="仿宋_GB2312" w:cs="仿宋_GB2312"/>
          <w:szCs w:val="32"/>
          <w:highlight w:val="none"/>
          <w:u w:val="none"/>
        </w:rPr>
        <w:t>实施项目库、储备项目库两类项目库，并对实施项目库中项目按照</w:t>
      </w:r>
      <w:bookmarkStart w:id="19" w:name="_Hlk200362915"/>
      <w:r>
        <w:rPr>
          <w:rFonts w:hint="eastAsia" w:ascii="仿宋_GB2312" w:hAnsi="仿宋_GB2312" w:eastAsia="仿宋_GB2312" w:cs="仿宋_GB2312"/>
          <w:szCs w:val="32"/>
          <w:highlight w:val="none"/>
          <w:u w:val="none"/>
        </w:rPr>
        <w:t>项目建设内容（本办法第</w:t>
      </w:r>
      <w:r>
        <w:rPr>
          <w:rFonts w:hint="eastAsia" w:ascii="仿宋_GB2312" w:hAnsi="仿宋_GB2312" w:cs="仿宋_GB2312"/>
          <w:szCs w:val="32"/>
          <w:highlight w:val="none"/>
          <w:u w:val="none"/>
          <w:lang w:val="en-US" w:eastAsia="zh-CN"/>
        </w:rPr>
        <w:t>六</w:t>
      </w:r>
      <w:r>
        <w:rPr>
          <w:rFonts w:hint="eastAsia" w:ascii="仿宋_GB2312" w:hAnsi="仿宋_GB2312" w:eastAsia="仿宋_GB2312" w:cs="仿宋_GB2312"/>
          <w:szCs w:val="32"/>
          <w:highlight w:val="none"/>
          <w:u w:val="none"/>
        </w:rPr>
        <w:t>条）、产业协同能级（带动产业上下游）、数智能级（应用新技术、培育新业态、布局新设施）、项目规模（符合政策支持方向的项目投资额）四个维度</w:t>
      </w:r>
      <w:bookmarkEnd w:id="19"/>
      <w:r>
        <w:rPr>
          <w:rFonts w:hint="eastAsia" w:ascii="仿宋_GB2312" w:hAnsi="仿宋_GB2312" w:eastAsia="仿宋_GB2312" w:cs="仿宋_GB2312"/>
          <w:szCs w:val="32"/>
          <w:highlight w:val="none"/>
          <w:u w:val="none"/>
        </w:rPr>
        <w:t>予以动态分级评定，共分为链主、示范、市级、普通四级。分级依照以下原则：</w:t>
      </w:r>
    </w:p>
    <w:bookmarkEnd w:id="18"/>
    <w:p w14:paraId="443D2E0C">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（一）链主项目：在四大支持方向（城乡融合、农村商贸、骨干企业培育、再生资源回收）任一领域，建设内容符合试点建设重点支持方向，</w:t>
      </w:r>
      <w:r>
        <w:rPr>
          <w:rFonts w:hint="eastAsia" w:ascii="仿宋_GB2312" w:hAnsi="仿宋_GB2312" w:eastAsia="仿宋_GB2312" w:cs="仿宋_GB2312"/>
          <w:sz w:val="32"/>
          <w:szCs w:val="32"/>
          <w:highlight w:val="none"/>
          <w:u w:val="none"/>
          <w:lang w:val="en-US" w:eastAsia="zh-CN"/>
        </w:rPr>
        <w:t>资源整合能力突出，</w:t>
      </w:r>
      <w:r>
        <w:rPr>
          <w:rFonts w:hint="eastAsia" w:ascii="仿宋_GB2312" w:hAnsi="仿宋_GB2312" w:eastAsia="仿宋_GB2312" w:cs="仿宋_GB2312"/>
          <w:sz w:val="32"/>
          <w:szCs w:val="32"/>
          <w:highlight w:val="none"/>
          <w:u w:val="none"/>
        </w:rPr>
        <w:t>能够带动上下游企业协同发展，项目服务范围至少覆盖全市并有明确的佐证材料，且应</w:t>
      </w:r>
      <w:bookmarkStart w:id="20" w:name="OLE_LINK1"/>
      <w:r>
        <w:rPr>
          <w:rFonts w:hint="eastAsia" w:ascii="仿宋_GB2312" w:hAnsi="仿宋_GB2312" w:eastAsia="仿宋_GB2312" w:cs="仿宋_GB2312"/>
          <w:sz w:val="32"/>
          <w:szCs w:val="32"/>
          <w:highlight w:val="none"/>
          <w:u w:val="none"/>
        </w:rPr>
        <w:t>具备数智建设</w:t>
      </w:r>
      <w:bookmarkEnd w:id="20"/>
      <w:r>
        <w:rPr>
          <w:rFonts w:hint="eastAsia" w:ascii="仿宋_GB2312" w:hAnsi="仿宋_GB2312" w:eastAsia="仿宋_GB2312" w:cs="仿宋_GB2312"/>
          <w:sz w:val="32"/>
          <w:szCs w:val="32"/>
          <w:highlight w:val="none"/>
          <w:u w:val="none"/>
        </w:rPr>
        <w:t>内容，项目投资额大于2000万。</w:t>
      </w:r>
      <w:r>
        <w:rPr>
          <w:rFonts w:hint="eastAsia" w:ascii="仿宋_GB2312" w:hAnsi="仿宋_GB2312" w:eastAsia="仿宋_GB2312" w:cs="仿宋_GB2312"/>
          <w:sz w:val="32"/>
          <w:szCs w:val="32"/>
          <w:highlight w:val="none"/>
          <w:u w:val="none"/>
          <w:lang w:val="en-US" w:eastAsia="zh-CN"/>
        </w:rPr>
        <w:t>同一支持方向，原则上支持</w:t>
      </w:r>
      <w:r>
        <w:rPr>
          <w:rFonts w:hint="eastAsia" w:ascii="仿宋_GB2312" w:hAnsi="仿宋_GB2312" w:eastAsia="仿宋_GB2312" w:cs="仿宋_GB2312"/>
          <w:sz w:val="32"/>
          <w:szCs w:val="32"/>
          <w:highlight w:val="none"/>
          <w:u w:val="none"/>
        </w:rPr>
        <w:t>不多于</w:t>
      </w:r>
      <w:r>
        <w:rPr>
          <w:rFonts w:hint="eastAsia" w:ascii="仿宋_GB2312" w:hAnsi="仿宋_GB2312" w:eastAsia="仿宋_GB2312" w:cs="仿宋_GB2312"/>
          <w:sz w:val="32"/>
          <w:szCs w:val="32"/>
          <w:highlight w:val="none"/>
          <w:u w:val="none"/>
          <w:lang w:val="en-US" w:eastAsia="zh-CN"/>
        </w:rPr>
        <w:t>3个项目。</w:t>
      </w:r>
    </w:p>
    <w:p w14:paraId="3F24684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二）示范项目：在四大支持方向（城乡融合、农村商贸、骨干企业培育、再生资源回收）任一领域，建设内容符合试点建设重点支持方向，要求聚焦解决某一细分市场或特定场景的痛点，在所属方向上形成示范引领效应，具备数智建设内容，且在技术应用、模式创新等方面具有先进性的项目，并有明确的佐证材料。</w:t>
      </w:r>
    </w:p>
    <w:p w14:paraId="70487F7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三）市级项目及储备项目库：满足试点建设支持范围和基础条件，实施“成熟优先、滚动储备”的动态管理机制，建设内容覆盖试点建设重点支持方向的，具有区域产业链带动效能的，建设进度及计划科学、良好的，优先纳入市级项目；其他纳入储备项目库进行管理。</w:t>
      </w:r>
    </w:p>
    <w:p w14:paraId="160310A6">
      <w:pPr>
        <w:pStyle w:val="4"/>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（四）普通项目：奖补资金优先满足链主、示范、市级三级项目之后，如尚有剩余资金，可从储备项目库择优选取项目作为普通项目予以支持。</w:t>
      </w:r>
    </w:p>
    <w:p w14:paraId="1A22CCA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Cs w:val="32"/>
          <w:highlight w:val="none"/>
          <w:u w:val="none"/>
          <w:lang w:val="en-US" w:eastAsia="zh-CN"/>
        </w:rPr>
      </w:pPr>
      <w:r>
        <w:rPr>
          <w:rFonts w:hint="eastAsia" w:ascii="仿宋_GB2312" w:hAnsi="仿宋_GB2312" w:eastAsia="仿宋_GB2312" w:cs="仿宋_GB2312"/>
          <w:b/>
          <w:bCs/>
          <w:szCs w:val="32"/>
          <w:highlight w:val="none"/>
          <w:u w:val="none"/>
          <w:lang w:val="en-US" w:eastAsia="zh-CN"/>
        </w:rPr>
        <w:t>第十七条</w:t>
      </w:r>
      <w:r>
        <w:rPr>
          <w:rFonts w:hint="eastAsia" w:ascii="仿宋_GB2312" w:hAnsi="仿宋_GB2312" w:eastAsia="仿宋_GB2312" w:cs="仿宋_GB2312"/>
          <w:szCs w:val="32"/>
          <w:highlight w:val="none"/>
          <w:u w:val="none"/>
          <w:lang w:val="en-US" w:eastAsia="zh-CN"/>
        </w:rPr>
        <w:t xml:space="preserve"> 公益项目</w:t>
      </w:r>
      <w:r>
        <w:rPr>
          <w:rFonts w:hint="eastAsia" w:ascii="仿宋_GB2312" w:hAnsi="仿宋_GB2312" w:eastAsia="仿宋_GB2312" w:cs="仿宋_GB2312"/>
          <w:szCs w:val="32"/>
          <w:highlight w:val="none"/>
          <w:u w:val="none"/>
        </w:rPr>
        <w:t>建立</w:t>
      </w:r>
      <w:r>
        <w:rPr>
          <w:rFonts w:hint="eastAsia" w:ascii="仿宋_GB2312" w:hAnsi="仿宋_GB2312" w:eastAsia="仿宋_GB2312" w:cs="仿宋_GB2312"/>
          <w:szCs w:val="32"/>
          <w:highlight w:val="none"/>
          <w:u w:val="none"/>
          <w:lang w:val="en-US" w:eastAsia="zh-CN"/>
        </w:rPr>
        <w:t>独立项目库。</w:t>
      </w:r>
      <w:r>
        <w:rPr>
          <w:rFonts w:hint="eastAsia" w:ascii="仿宋_GB2312" w:hAnsi="仿宋_GB2312" w:eastAsia="仿宋_GB2312" w:cs="仿宋_GB2312"/>
          <w:szCs w:val="32"/>
          <w:highlight w:val="none"/>
          <w:u w:val="none"/>
        </w:rPr>
        <w:t>建设内容符合试点建</w:t>
      </w:r>
      <w:r>
        <w:rPr>
          <w:rFonts w:hint="eastAsia" w:ascii="仿宋_GB2312" w:hAnsi="仿宋_GB2312" w:eastAsia="仿宋_GB2312" w:cs="仿宋_GB2312"/>
          <w:color w:val="auto"/>
          <w:szCs w:val="32"/>
          <w:highlight w:val="none"/>
          <w:u w:val="none"/>
        </w:rPr>
        <w:t>设重点支持方向</w:t>
      </w:r>
      <w:r>
        <w:rPr>
          <w:rFonts w:hint="eastAsia" w:ascii="仿宋_GB2312" w:hAnsi="仿宋_GB2312" w:eastAsia="仿宋_GB2312" w:cs="仿宋_GB2312"/>
          <w:color w:val="auto"/>
          <w:szCs w:val="32"/>
          <w:highlight w:val="none"/>
          <w:u w:val="none"/>
          <w:lang w:eastAsia="zh-CN"/>
        </w:rPr>
        <w:t>，</w:t>
      </w:r>
      <w:r>
        <w:rPr>
          <w:rFonts w:hint="eastAsia" w:ascii="仿宋_GB2312" w:hAnsi="仿宋_GB2312" w:eastAsia="仿宋_GB2312" w:cs="仿宋_GB2312"/>
          <w:color w:val="auto"/>
          <w:szCs w:val="32"/>
          <w:highlight w:val="none"/>
          <w:u w:val="none"/>
          <w:lang w:val="en-US" w:eastAsia="zh-CN"/>
        </w:rPr>
        <w:t>择优</w:t>
      </w:r>
      <w:r>
        <w:rPr>
          <w:rFonts w:hint="eastAsia" w:ascii="仿宋_GB2312" w:hAnsi="仿宋_GB2312" w:eastAsia="仿宋_GB2312" w:cs="仿宋_GB2312"/>
          <w:b w:val="0"/>
          <w:bCs w:val="0"/>
          <w:color w:val="auto"/>
          <w:szCs w:val="32"/>
          <w:highlight w:val="none"/>
          <w:u w:val="none"/>
          <w:lang w:val="en-US" w:eastAsia="zh-CN"/>
        </w:rPr>
        <w:t>选取政策契合度高</w:t>
      </w:r>
      <w:r>
        <w:rPr>
          <w:rFonts w:hint="eastAsia" w:ascii="仿宋_GB2312" w:hAnsi="仿宋_GB2312" w:eastAsia="仿宋_GB2312" w:cs="仿宋_GB2312"/>
          <w:b w:val="0"/>
          <w:bCs w:val="0"/>
          <w:color w:val="auto"/>
          <w:szCs w:val="32"/>
          <w:highlight w:val="none"/>
          <w:u w:val="none"/>
          <w:lang w:eastAsia="zh-CN"/>
        </w:rPr>
        <w:t>、公益属性</w:t>
      </w:r>
      <w:r>
        <w:rPr>
          <w:rFonts w:hint="eastAsia" w:ascii="仿宋_GB2312" w:hAnsi="仿宋_GB2312" w:cs="仿宋_GB2312"/>
          <w:b w:val="0"/>
          <w:bCs w:val="0"/>
          <w:color w:val="auto"/>
          <w:szCs w:val="32"/>
          <w:highlight w:val="none"/>
          <w:u w:val="none"/>
          <w:lang w:val="en-US" w:eastAsia="zh-CN"/>
        </w:rPr>
        <w:t>强</w:t>
      </w:r>
      <w:r>
        <w:rPr>
          <w:rFonts w:hint="eastAsia" w:ascii="仿宋_GB2312" w:hAnsi="仿宋_GB2312" w:eastAsia="仿宋_GB2312" w:cs="仿宋_GB2312"/>
          <w:b w:val="0"/>
          <w:bCs w:val="0"/>
          <w:color w:val="auto"/>
          <w:szCs w:val="32"/>
          <w:highlight w:val="none"/>
          <w:u w:val="none"/>
          <w:lang w:eastAsia="zh-CN"/>
        </w:rPr>
        <w:t>、可持续</w:t>
      </w:r>
      <w:r>
        <w:rPr>
          <w:rFonts w:hint="eastAsia" w:ascii="仿宋_GB2312" w:hAnsi="仿宋_GB2312" w:eastAsia="仿宋_GB2312" w:cs="仿宋_GB2312"/>
          <w:b w:val="0"/>
          <w:bCs w:val="0"/>
          <w:szCs w:val="32"/>
          <w:highlight w:val="none"/>
          <w:u w:val="none"/>
          <w:lang w:val="en-US" w:eastAsia="zh-CN"/>
        </w:rPr>
        <w:t>性高</w:t>
      </w:r>
      <w:r>
        <w:rPr>
          <w:rFonts w:hint="eastAsia" w:ascii="仿宋_GB2312" w:hAnsi="仿宋_GB2312" w:eastAsia="仿宋_GB2312" w:cs="仿宋_GB2312"/>
          <w:b w:val="0"/>
          <w:bCs w:val="0"/>
          <w:szCs w:val="32"/>
          <w:highlight w:val="none"/>
          <w:u w:val="none"/>
          <w:lang w:eastAsia="zh-CN"/>
        </w:rPr>
        <w:t>、风险可控</w:t>
      </w:r>
      <w:r>
        <w:rPr>
          <w:rFonts w:hint="eastAsia" w:ascii="仿宋_GB2312" w:hAnsi="仿宋_GB2312" w:eastAsia="仿宋_GB2312" w:cs="仿宋_GB2312"/>
          <w:b w:val="0"/>
          <w:bCs w:val="0"/>
          <w:szCs w:val="32"/>
          <w:highlight w:val="none"/>
          <w:u w:val="none"/>
          <w:lang w:val="en-US" w:eastAsia="zh-CN"/>
        </w:rPr>
        <w:t>性高的项目</w:t>
      </w:r>
      <w:r>
        <w:rPr>
          <w:rFonts w:hint="eastAsia" w:ascii="仿宋_GB2312" w:hAnsi="仿宋_GB2312" w:eastAsia="仿宋_GB2312" w:cs="仿宋_GB2312"/>
          <w:b w:val="0"/>
          <w:bCs w:val="0"/>
          <w:szCs w:val="32"/>
          <w:highlight w:val="none"/>
          <w:u w:val="none"/>
        </w:rPr>
        <w:t>予以支持</w:t>
      </w:r>
      <w:r>
        <w:rPr>
          <w:rFonts w:hint="eastAsia" w:ascii="仿宋_GB2312" w:hAnsi="仿宋_GB2312" w:eastAsia="仿宋_GB2312" w:cs="仿宋_GB2312"/>
          <w:b w:val="0"/>
          <w:bCs w:val="0"/>
          <w:szCs w:val="32"/>
          <w:highlight w:val="none"/>
          <w:u w:val="none"/>
          <w:lang w:eastAsia="zh-CN"/>
        </w:rPr>
        <w:t>。</w:t>
      </w:r>
    </w:p>
    <w:p w14:paraId="0379DDE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rPr>
        <w:t>其中，</w:t>
      </w:r>
      <w:r>
        <w:rPr>
          <w:rFonts w:hint="eastAsia" w:ascii="仿宋_GB2312" w:hAnsi="仿宋_GB2312" w:eastAsia="仿宋_GB2312" w:cs="仿宋_GB2312"/>
          <w:sz w:val="32"/>
          <w:szCs w:val="32"/>
          <w:highlight w:val="none"/>
          <w:u w:val="none"/>
        </w:rPr>
        <w:t>生活必需品保供方向，最多只支持</w:t>
      </w:r>
      <w:r>
        <w:rPr>
          <w:rFonts w:hint="eastAsia"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sz w:val="32"/>
          <w:szCs w:val="32"/>
          <w:highlight w:val="none"/>
          <w:u w:val="none"/>
        </w:rPr>
        <w:t>个</w:t>
      </w:r>
      <w:r>
        <w:rPr>
          <w:rFonts w:ascii="Times New Roman" w:hAnsi="Times New Roman" w:cs="Times New Roman"/>
          <w:szCs w:val="32"/>
          <w:highlight w:val="none"/>
          <w:u w:val="none"/>
        </w:rPr>
        <w:t>作为政府宏观调控、保供稳价、服务民生的</w:t>
      </w:r>
      <w:r>
        <w:rPr>
          <w:rFonts w:hint="eastAsia" w:ascii="Times New Roman" w:hAnsi="Times New Roman" w:cs="Times New Roman"/>
          <w:szCs w:val="32"/>
          <w:highlight w:val="none"/>
          <w:u w:val="none"/>
          <w:lang w:val="en-US" w:eastAsia="zh-CN"/>
        </w:rPr>
        <w:t>信息监测和预测预警</w:t>
      </w:r>
      <w:r>
        <w:rPr>
          <w:rFonts w:hint="eastAsia" w:ascii="仿宋_GB2312" w:hAnsi="仿宋_GB2312" w:eastAsia="仿宋_GB2312" w:cs="仿宋_GB2312"/>
          <w:sz w:val="32"/>
          <w:szCs w:val="32"/>
          <w:highlight w:val="none"/>
          <w:u w:val="none"/>
        </w:rPr>
        <w:t>平台类</w:t>
      </w:r>
      <w:r>
        <w:rPr>
          <w:rFonts w:hint="eastAsia" w:ascii="仿宋_GB2312" w:hAnsi="仿宋_GB2312" w:cs="仿宋_GB2312"/>
          <w:sz w:val="32"/>
          <w:szCs w:val="32"/>
          <w:highlight w:val="none"/>
          <w:u w:val="none"/>
          <w:lang w:val="en-US" w:eastAsia="zh-CN"/>
        </w:rPr>
        <w:t>公益性</w:t>
      </w:r>
      <w:r>
        <w:rPr>
          <w:rFonts w:hint="eastAsia" w:ascii="仿宋_GB2312" w:hAnsi="仿宋_GB2312" w:eastAsia="仿宋_GB2312" w:cs="仿宋_GB2312"/>
          <w:sz w:val="32"/>
          <w:szCs w:val="32"/>
          <w:highlight w:val="none"/>
          <w:u w:val="none"/>
        </w:rPr>
        <w:t>项目建设</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pacing w:val="0"/>
          <w:szCs w:val="32"/>
          <w:highlight w:val="none"/>
          <w:u w:val="none"/>
        </w:rPr>
        <w:t>加快培育现代流通骨干企业</w:t>
      </w:r>
      <w:r>
        <w:rPr>
          <w:rFonts w:hint="eastAsia" w:ascii="仿宋_GB2312" w:hAnsi="仿宋_GB2312" w:eastAsia="仿宋_GB2312" w:cs="仿宋_GB2312"/>
          <w:spacing w:val="0"/>
          <w:szCs w:val="32"/>
          <w:highlight w:val="none"/>
          <w:u w:val="none"/>
          <w:lang w:val="en-US" w:eastAsia="zh-CN"/>
        </w:rPr>
        <w:t>方向</w:t>
      </w:r>
      <w:r>
        <w:rPr>
          <w:rFonts w:hint="eastAsia" w:ascii="仿宋_GB2312" w:hAnsi="仿宋_GB2312" w:eastAsia="仿宋_GB2312" w:cs="仿宋_GB2312"/>
          <w:sz w:val="32"/>
          <w:szCs w:val="32"/>
          <w:highlight w:val="none"/>
          <w:u w:val="none"/>
          <w:lang w:val="en-US" w:eastAsia="zh-CN"/>
        </w:rPr>
        <w:t>中</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Cs w:val="32"/>
          <w:highlight w:val="none"/>
          <w:u w:val="none"/>
        </w:rPr>
        <w:t>涉及商圈、商街、城市会客厅等新场景打造的，最多只支持</w:t>
      </w:r>
      <w:r>
        <w:rPr>
          <w:rFonts w:hint="eastAsia" w:ascii="仿宋_GB2312" w:hAnsi="仿宋_GB2312" w:eastAsia="仿宋_GB2312" w:cs="仿宋_GB2312"/>
          <w:szCs w:val="32"/>
          <w:highlight w:val="none"/>
          <w:u w:val="none"/>
          <w:lang w:val="en-US" w:eastAsia="zh-CN"/>
        </w:rPr>
        <w:t>2</w:t>
      </w:r>
      <w:r>
        <w:rPr>
          <w:rFonts w:hint="eastAsia" w:ascii="仿宋_GB2312" w:hAnsi="仿宋_GB2312" w:eastAsia="仿宋_GB2312" w:cs="仿宋_GB2312"/>
          <w:szCs w:val="32"/>
          <w:highlight w:val="none"/>
          <w:u w:val="none"/>
        </w:rPr>
        <w:t>个</w:t>
      </w:r>
      <w:r>
        <w:rPr>
          <w:rFonts w:hint="eastAsia" w:ascii="仿宋_GB2312" w:hAnsi="仿宋_GB2312" w:cs="仿宋_GB2312"/>
          <w:szCs w:val="32"/>
          <w:highlight w:val="none"/>
          <w:u w:val="none"/>
          <w:lang w:val="en-US" w:eastAsia="zh-CN"/>
        </w:rPr>
        <w:t>公益性、基础性且非盈利性</w:t>
      </w:r>
      <w:r>
        <w:rPr>
          <w:rFonts w:hint="eastAsia" w:ascii="仿宋_GB2312" w:hAnsi="仿宋_GB2312" w:eastAsia="仿宋_GB2312" w:cs="仿宋_GB2312"/>
          <w:szCs w:val="32"/>
          <w:highlight w:val="none"/>
          <w:u w:val="none"/>
        </w:rPr>
        <w:t>项目进行建设。</w:t>
      </w:r>
    </w:p>
    <w:p w14:paraId="526BB245">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第十</w:t>
      </w:r>
      <w:r>
        <w:rPr>
          <w:rFonts w:hint="eastAsia" w:ascii="仿宋_GB2312" w:hAnsi="仿宋_GB2312" w:eastAsia="仿宋_GB2312" w:cs="仿宋_GB2312"/>
          <w:b/>
          <w:bCs/>
          <w:szCs w:val="32"/>
          <w:highlight w:val="none"/>
          <w:u w:val="none"/>
          <w:lang w:val="en-US" w:eastAsia="zh-CN"/>
        </w:rPr>
        <w:t>八</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试点建设优先支持在各政策支持方向中，能够依托数智化平台，与其他项目联动形成体系化的项目。</w:t>
      </w:r>
    </w:p>
    <w:bookmarkEnd w:id="16"/>
    <w:bookmarkEnd w:id="17"/>
    <w:p w14:paraId="5528020F">
      <w:pPr>
        <w:pStyle w:val="2"/>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第十</w:t>
      </w:r>
      <w:r>
        <w:rPr>
          <w:rFonts w:hint="eastAsia" w:ascii="仿宋_GB2312" w:hAnsi="仿宋_GB2312" w:eastAsia="仿宋_GB2312" w:cs="仿宋_GB2312"/>
          <w:b/>
          <w:bCs/>
          <w:sz w:val="32"/>
          <w:szCs w:val="32"/>
          <w:highlight w:val="none"/>
          <w:u w:val="none"/>
          <w:lang w:val="en-US" w:eastAsia="zh-CN"/>
        </w:rPr>
        <w:t>九</w:t>
      </w:r>
      <w:r>
        <w:rPr>
          <w:rFonts w:hint="eastAsia" w:ascii="仿宋_GB2312" w:hAnsi="仿宋_GB2312" w:eastAsia="仿宋_GB2312" w:cs="仿宋_GB2312"/>
          <w:b/>
          <w:bCs/>
          <w:sz w:val="32"/>
          <w:szCs w:val="32"/>
          <w:highlight w:val="none"/>
          <w:u w:val="none"/>
        </w:rPr>
        <w:t xml:space="preserve">条 </w:t>
      </w:r>
      <w:r>
        <w:rPr>
          <w:rFonts w:hint="eastAsia" w:ascii="仿宋_GB2312" w:hAnsi="仿宋_GB2312" w:eastAsia="仿宋_GB2312" w:cs="仿宋_GB2312"/>
          <w:sz w:val="32"/>
          <w:szCs w:val="32"/>
          <w:highlight w:val="none"/>
          <w:u w:val="none"/>
        </w:rPr>
        <w:t>市商务局（市城管局仅参加再生资源回收方向相关项目）依托独立第三方监理咨询机构，牵头</w:t>
      </w:r>
      <w:bookmarkStart w:id="21" w:name="_Hlk200363078"/>
      <w:r>
        <w:rPr>
          <w:rFonts w:hint="eastAsia" w:ascii="仿宋_GB2312" w:hAnsi="仿宋_GB2312" w:eastAsia="仿宋_GB2312" w:cs="仿宋_GB2312"/>
          <w:sz w:val="32"/>
          <w:szCs w:val="32"/>
          <w:highlight w:val="none"/>
          <w:u w:val="none"/>
        </w:rPr>
        <w:t>对遴选出的支持项目不定期采取“现场调研+线上材料审查”的方式进行审查</w:t>
      </w:r>
      <w:bookmarkEnd w:id="21"/>
      <w:r>
        <w:rPr>
          <w:rFonts w:hint="eastAsia" w:ascii="仿宋_GB2312" w:hAnsi="仿宋_GB2312" w:eastAsia="仿宋_GB2312" w:cs="仿宋_GB2312"/>
          <w:sz w:val="32"/>
          <w:szCs w:val="32"/>
          <w:highlight w:val="none"/>
          <w:u w:val="none"/>
        </w:rPr>
        <w:t>，建立动态管理机制：</w:t>
      </w:r>
    </w:p>
    <w:p w14:paraId="3CD7EF6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（一）有下列情形之一，生活必需品保供项目</w:t>
      </w:r>
      <w:r>
        <w:rPr>
          <w:rFonts w:hint="eastAsia" w:ascii="仿宋_GB2312" w:hAnsi="仿宋_GB2312" w:eastAsia="仿宋_GB2312" w:cs="仿宋_GB2312"/>
          <w:szCs w:val="32"/>
          <w:highlight w:val="none"/>
          <w:u w:val="none"/>
          <w:lang w:val="en-US" w:eastAsia="zh-CN"/>
        </w:rPr>
        <w:t>及公益项目</w:t>
      </w:r>
      <w:r>
        <w:rPr>
          <w:rFonts w:hint="eastAsia" w:ascii="仿宋_GB2312" w:hAnsi="仿宋_GB2312" w:eastAsia="仿宋_GB2312" w:cs="仿宋_GB2312"/>
          <w:szCs w:val="32"/>
          <w:highlight w:val="none"/>
          <w:u w:val="none"/>
        </w:rPr>
        <w:t>库中</w:t>
      </w:r>
      <w:r>
        <w:rPr>
          <w:rFonts w:hint="eastAsia" w:ascii="仿宋_GB2312" w:hAnsi="仿宋_GB2312" w:eastAsia="仿宋_GB2312" w:cs="仿宋_GB2312"/>
          <w:szCs w:val="32"/>
          <w:highlight w:val="none"/>
          <w:u w:val="none"/>
          <w:lang w:val="en-US" w:eastAsia="zh-CN"/>
        </w:rPr>
        <w:t>的</w:t>
      </w:r>
      <w:r>
        <w:rPr>
          <w:rFonts w:hint="eastAsia" w:ascii="仿宋_GB2312" w:hAnsi="仿宋_GB2312" w:eastAsia="仿宋_GB2312" w:cs="仿宋_GB2312"/>
          <w:szCs w:val="32"/>
          <w:highlight w:val="none"/>
          <w:u w:val="none"/>
        </w:rPr>
        <w:t>项目取消支持资格，实施项目库中链主、示范项目进行降级处理，市级项目移至储备项目库，并责令其限期整改：</w:t>
      </w:r>
    </w:p>
    <w:p w14:paraId="00A98ACE">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1.建设核心内容偏离试点建设重点方向或支持方向的；</w:t>
      </w:r>
    </w:p>
    <w:p w14:paraId="47175EF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2.项目建设期间，项目建设规模、标准和内容发生较大变化而不及时报告的；</w:t>
      </w:r>
    </w:p>
    <w:p w14:paraId="2056ED5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3.建设</w:t>
      </w:r>
      <w:bookmarkStart w:id="22" w:name="_Hlk200363117"/>
      <w:r>
        <w:rPr>
          <w:rFonts w:hint="eastAsia" w:ascii="仿宋_GB2312" w:hAnsi="仿宋_GB2312" w:eastAsia="仿宋_GB2312" w:cs="仿宋_GB2312"/>
          <w:szCs w:val="32"/>
          <w:highlight w:val="none"/>
          <w:u w:val="none"/>
        </w:rPr>
        <w:t>进度大幅落后原定计划超</w:t>
      </w:r>
      <w:r>
        <w:rPr>
          <w:rFonts w:hint="eastAsia" w:ascii="仿宋_GB2312" w:hAnsi="仿宋_GB2312" w:eastAsia="仿宋_GB2312" w:cs="仿宋_GB2312"/>
          <w:szCs w:val="32"/>
          <w:highlight w:val="none"/>
          <w:u w:val="none"/>
          <w:lang w:val="en-US" w:eastAsia="zh-CN"/>
        </w:rPr>
        <w:t>3</w:t>
      </w:r>
      <w:r>
        <w:rPr>
          <w:rFonts w:hint="eastAsia" w:ascii="仿宋_GB2312" w:hAnsi="仿宋_GB2312" w:eastAsia="仿宋_GB2312" w:cs="仿宋_GB2312"/>
          <w:szCs w:val="32"/>
          <w:highlight w:val="none"/>
          <w:u w:val="none"/>
        </w:rPr>
        <w:t>个月</w:t>
      </w:r>
      <w:bookmarkEnd w:id="22"/>
      <w:r>
        <w:rPr>
          <w:rFonts w:hint="eastAsia" w:ascii="仿宋_GB2312" w:hAnsi="仿宋_GB2312" w:eastAsia="仿宋_GB2312" w:cs="仿宋_GB2312"/>
          <w:szCs w:val="32"/>
          <w:highlight w:val="none"/>
          <w:u w:val="none"/>
        </w:rPr>
        <w:t>，且无合理调整方案并被批准的；</w:t>
      </w:r>
    </w:p>
    <w:p w14:paraId="48DBF25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4.未在规定时间内按要求报送项目实施情况的；</w:t>
      </w:r>
    </w:p>
    <w:p w14:paraId="2556E49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5.拒不接受依法进行的评估督导或者监督检查的；</w:t>
      </w:r>
    </w:p>
    <w:p w14:paraId="6864545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6.保供项目未及时、准确向相关保供平台接入数据，或提供虚假数据</w:t>
      </w:r>
      <w:r>
        <w:rPr>
          <w:rFonts w:hint="eastAsia" w:ascii="仿宋_GB2312" w:hAnsi="仿宋_GB2312" w:eastAsia="仿宋_GB2312" w:cs="仿宋_GB2312"/>
          <w:szCs w:val="32"/>
          <w:highlight w:val="none"/>
          <w:u w:val="none"/>
          <w:lang w:eastAsia="zh-CN"/>
        </w:rPr>
        <w:t>。</w:t>
      </w:r>
    </w:p>
    <w:p w14:paraId="3295CC4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（二）有下列情形之一，应</w:t>
      </w:r>
      <w:bookmarkStart w:id="23" w:name="_Hlk200363400"/>
      <w:r>
        <w:rPr>
          <w:rFonts w:hint="eastAsia" w:ascii="仿宋_GB2312" w:hAnsi="仿宋_GB2312" w:eastAsia="仿宋_GB2312" w:cs="仿宋_GB2312"/>
          <w:szCs w:val="32"/>
          <w:highlight w:val="none"/>
          <w:u w:val="none"/>
        </w:rPr>
        <w:t>取消项目奖补资格，从所有项目库中移出，如已获得资助的项目申报单位应追缴退回已拨付的奖补资金</w:t>
      </w:r>
      <w:bookmarkEnd w:id="23"/>
      <w:r>
        <w:rPr>
          <w:rFonts w:hint="eastAsia" w:ascii="仿宋_GB2312" w:hAnsi="仿宋_GB2312" w:eastAsia="仿宋_GB2312" w:cs="仿宋_GB2312"/>
          <w:szCs w:val="32"/>
          <w:highlight w:val="none"/>
          <w:u w:val="none"/>
        </w:rPr>
        <w:t>：</w:t>
      </w:r>
    </w:p>
    <w:p w14:paraId="539DC52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1.建设内容、建设主体出现重大负面变更，不符合试点建设支持范围和基础条件；</w:t>
      </w:r>
    </w:p>
    <w:p w14:paraId="5205B08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2.项目</w:t>
      </w:r>
      <w:r>
        <w:rPr>
          <w:rFonts w:hint="eastAsia" w:ascii="仿宋_GB2312" w:hAnsi="仿宋_GB2312" w:eastAsia="仿宋_GB2312" w:cs="仿宋_GB2312"/>
          <w:szCs w:val="32"/>
          <w:highlight w:val="none"/>
          <w:u w:val="none"/>
          <w:lang w:val="en-US" w:eastAsia="zh-CN"/>
        </w:rPr>
        <w:t>申报</w:t>
      </w:r>
      <w:r>
        <w:rPr>
          <w:rFonts w:hint="eastAsia" w:ascii="仿宋_GB2312" w:hAnsi="仿宋_GB2312" w:eastAsia="仿宋_GB2312" w:cs="仿宋_GB2312"/>
          <w:szCs w:val="32"/>
          <w:highlight w:val="none"/>
          <w:u w:val="none"/>
        </w:rPr>
        <w:t>单位在建设、运营过程中存在严重违法违规行为或重大失信行为；</w:t>
      </w:r>
    </w:p>
    <w:p w14:paraId="7D10ACA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3.在首次督促整改后2个月内，仍未按要求整改并达到完成进度的；</w:t>
      </w:r>
    </w:p>
    <w:p w14:paraId="6895A63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4.其他违反国家法律法规和本办法规定的行为；</w:t>
      </w:r>
    </w:p>
    <w:p w14:paraId="68FC502F">
      <w:pPr>
        <w:pStyle w:val="4"/>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5.项目主体拒不按要求提供</w:t>
      </w:r>
      <w:r>
        <w:rPr>
          <w:rFonts w:hint="eastAsia" w:ascii="仿宋_GB2312" w:hAnsi="仿宋_GB2312" w:eastAsia="仿宋_GB2312" w:cs="仿宋_GB2312"/>
          <w:szCs w:val="32"/>
          <w:highlight w:val="none"/>
          <w:u w:val="none"/>
        </w:rPr>
        <w:t>《企业申报项目相关内容承诺函》</w:t>
      </w:r>
      <w:r>
        <w:rPr>
          <w:rFonts w:hint="eastAsia" w:ascii="仿宋_GB2312" w:hAnsi="仿宋_GB2312" w:eastAsia="仿宋_GB2312" w:cs="仿宋_GB2312"/>
          <w:szCs w:val="32"/>
          <w:highlight w:val="none"/>
          <w:u w:val="none"/>
          <w:lang w:val="en-US" w:eastAsia="zh-CN"/>
        </w:rPr>
        <w:t>的行为；</w:t>
      </w:r>
    </w:p>
    <w:p w14:paraId="4572F7AE">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6</w:t>
      </w:r>
      <w:r>
        <w:rPr>
          <w:rFonts w:hint="eastAsia" w:ascii="仿宋_GB2312" w:hAnsi="仿宋_GB2312" w:eastAsia="仿宋_GB2312" w:cs="仿宋_GB2312"/>
          <w:sz w:val="32"/>
          <w:szCs w:val="32"/>
          <w:highlight w:val="none"/>
          <w:u w:val="none"/>
        </w:rPr>
        <w:t>.申报单位主动申请退出的。</w:t>
      </w:r>
    </w:p>
    <w:p w14:paraId="4ABFBF0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（三）若储备项目库中项目的实际建设效果超过预期，</w:t>
      </w:r>
      <w:bookmarkStart w:id="24" w:name="_Hlk200363490"/>
      <w:r>
        <w:rPr>
          <w:rFonts w:hint="eastAsia" w:ascii="仿宋_GB2312" w:hAnsi="仿宋_GB2312" w:eastAsia="仿宋_GB2312" w:cs="仿宋_GB2312"/>
          <w:szCs w:val="32"/>
          <w:highlight w:val="none"/>
          <w:u w:val="none"/>
          <w:lang w:val="en-US" w:eastAsia="zh-CN"/>
        </w:rPr>
        <w:t>按实际情况择优升级</w:t>
      </w:r>
      <w:bookmarkEnd w:id="24"/>
      <w:r>
        <w:rPr>
          <w:rFonts w:hint="eastAsia" w:ascii="仿宋_GB2312" w:hAnsi="仿宋_GB2312" w:eastAsia="仿宋_GB2312" w:cs="仿宋_GB2312"/>
          <w:szCs w:val="32"/>
          <w:highlight w:val="none"/>
          <w:u w:val="none"/>
        </w:rPr>
        <w:t>；</w:t>
      </w:r>
    </w:p>
    <w:p w14:paraId="0D5563E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rPr>
        <w:t>（四）项目库有调整的，由</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w:t>
      </w:r>
      <w:r>
        <w:rPr>
          <w:rFonts w:hint="eastAsia" w:ascii="仿宋_GB2312" w:hAnsi="仿宋_GB2312" w:eastAsia="仿宋_GB2312" w:cs="仿宋_GB2312"/>
          <w:szCs w:val="32"/>
          <w:highlight w:val="none"/>
          <w:u w:val="none"/>
          <w:lang w:val="en-US" w:eastAsia="zh-CN"/>
        </w:rPr>
        <w:t>监理咨询</w:t>
      </w:r>
      <w:r>
        <w:rPr>
          <w:rFonts w:hint="eastAsia" w:ascii="仿宋_GB2312" w:hAnsi="仿宋_GB2312" w:eastAsia="仿宋_GB2312" w:cs="仿宋_GB2312"/>
          <w:szCs w:val="32"/>
          <w:highlight w:val="none"/>
          <w:u w:val="none"/>
        </w:rPr>
        <w:t>机构根据实际情况提出调整方案，经</w:t>
      </w:r>
      <w:r>
        <w:rPr>
          <w:rFonts w:hint="eastAsia" w:ascii="仿宋_GB2312" w:hAnsi="仿宋_GB2312" w:cs="仿宋_GB2312"/>
          <w:szCs w:val="32"/>
          <w:highlight w:val="none"/>
          <w:u w:val="none"/>
          <w:lang w:val="en-US" w:eastAsia="zh-CN"/>
        </w:rPr>
        <w:t>行业主管部门</w:t>
      </w:r>
      <w:r>
        <w:rPr>
          <w:rFonts w:hint="eastAsia" w:ascii="仿宋_GB2312" w:hAnsi="仿宋_GB2312" w:eastAsia="仿宋_GB2312" w:cs="仿宋_GB2312"/>
          <w:szCs w:val="32"/>
          <w:highlight w:val="none"/>
          <w:u w:val="none"/>
        </w:rPr>
        <w:t>组织审核后</w:t>
      </w:r>
      <w:r>
        <w:rPr>
          <w:rFonts w:hint="eastAsia" w:ascii="仿宋_GB2312" w:hAnsi="仿宋_GB2312" w:eastAsia="仿宋_GB2312" w:cs="仿宋_GB2312"/>
          <w:szCs w:val="32"/>
          <w:highlight w:val="none"/>
          <w:u w:val="none"/>
          <w:lang w:val="en-US" w:eastAsia="zh-CN"/>
        </w:rPr>
        <w:t>作</w:t>
      </w:r>
      <w:r>
        <w:rPr>
          <w:rFonts w:hint="eastAsia" w:ascii="仿宋_GB2312" w:hAnsi="仿宋_GB2312" w:eastAsia="仿宋_GB2312" w:cs="仿宋_GB2312"/>
          <w:szCs w:val="32"/>
          <w:highlight w:val="none"/>
          <w:u w:val="none"/>
        </w:rPr>
        <w:t>出降级、递补决定，按规定向社会公示，公示时间不少于</w:t>
      </w:r>
      <w:r>
        <w:rPr>
          <w:rFonts w:hint="eastAsia" w:ascii="仿宋_GB2312" w:hAnsi="仿宋_GB2312" w:cs="仿宋_GB2312"/>
          <w:szCs w:val="32"/>
          <w:highlight w:val="none"/>
          <w:u w:val="none"/>
          <w:lang w:val="en-US" w:eastAsia="zh-CN"/>
        </w:rPr>
        <w:t>7天</w:t>
      </w:r>
      <w:r>
        <w:rPr>
          <w:rFonts w:hint="eastAsia" w:ascii="仿宋_GB2312" w:hAnsi="仿宋_GB2312" w:eastAsia="仿宋_GB2312" w:cs="仿宋_GB2312"/>
          <w:szCs w:val="32"/>
          <w:highlight w:val="none"/>
          <w:u w:val="none"/>
        </w:rPr>
        <w:t>；如有异议，经核实后按</w:t>
      </w:r>
      <w:r>
        <w:rPr>
          <w:rFonts w:hint="eastAsia" w:ascii="仿宋_GB2312" w:hAnsi="仿宋_GB2312" w:eastAsia="仿宋_GB2312" w:cs="仿宋_GB2312"/>
          <w:szCs w:val="32"/>
          <w:highlight w:val="none"/>
          <w:u w:val="none"/>
          <w:lang w:val="en-US" w:eastAsia="zh-CN"/>
        </w:rPr>
        <w:t>本办法</w:t>
      </w:r>
      <w:r>
        <w:rPr>
          <w:rFonts w:hint="eastAsia" w:ascii="仿宋_GB2312" w:hAnsi="仿宋_GB2312" w:eastAsia="仿宋_GB2312" w:cs="仿宋_GB2312"/>
          <w:szCs w:val="32"/>
          <w:highlight w:val="none"/>
          <w:u w:val="none"/>
        </w:rPr>
        <w:t>规定处理；公示期满无异议或异议不成立的，</w:t>
      </w:r>
      <w:r>
        <w:rPr>
          <w:rFonts w:hint="eastAsia" w:ascii="仿宋_GB2312" w:hAnsi="仿宋_GB2312" w:eastAsia="仿宋_GB2312" w:cs="仿宋_GB2312"/>
          <w:szCs w:val="32"/>
          <w:highlight w:val="none"/>
          <w:u w:val="none"/>
          <w:lang w:val="en-US" w:eastAsia="zh-CN"/>
        </w:rPr>
        <w:t>按本办法规定</w:t>
      </w:r>
      <w:r>
        <w:rPr>
          <w:rFonts w:hint="eastAsia" w:ascii="仿宋_GB2312" w:hAnsi="仿宋_GB2312" w:eastAsia="仿宋_GB2312" w:cs="仿宋_GB2312"/>
          <w:szCs w:val="32"/>
          <w:highlight w:val="none"/>
          <w:u w:val="none"/>
        </w:rPr>
        <w:t>进行调整</w:t>
      </w:r>
      <w:r>
        <w:rPr>
          <w:rFonts w:hint="eastAsia" w:ascii="仿宋_GB2312" w:hAnsi="仿宋_GB2312" w:eastAsia="仿宋_GB2312" w:cs="仿宋_GB2312"/>
          <w:szCs w:val="32"/>
          <w:highlight w:val="none"/>
          <w:u w:val="none"/>
          <w:lang w:eastAsia="zh-CN"/>
        </w:rPr>
        <w:t>。</w:t>
      </w:r>
    </w:p>
    <w:p w14:paraId="52964BCC">
      <w:pPr>
        <w:pStyle w:val="8"/>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w:t>
      </w:r>
      <w:r>
        <w:rPr>
          <w:rFonts w:hint="eastAsia" w:ascii="仿宋_GB2312" w:hAnsi="仿宋_GB2312" w:eastAsia="仿宋_GB2312" w:cs="仿宋_GB2312"/>
          <w:b/>
          <w:bCs/>
          <w:szCs w:val="32"/>
          <w:highlight w:val="none"/>
          <w:u w:val="none"/>
          <w:lang w:val="en-US" w:eastAsia="zh-CN"/>
        </w:rPr>
        <w:t>二十</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申报单位应按照计划的投资额、建设周期、建设内容完成项目。项目实施期间，项目总投资及实施方案原则上不得调整。如因客观情况发生变化，或其他因素导致项目无法按计划实施，需要变更或撤销的，</w:t>
      </w:r>
      <w:r>
        <w:rPr>
          <w:rFonts w:hint="eastAsia" w:ascii="仿宋_GB2312" w:hAnsi="仿宋_GB2312" w:eastAsia="仿宋_GB2312" w:cs="仿宋_GB2312"/>
          <w:szCs w:val="32"/>
          <w:highlight w:val="none"/>
          <w:u w:val="none"/>
          <w:lang w:val="en-US" w:eastAsia="zh-CN"/>
        </w:rPr>
        <w:t>申报单位</w:t>
      </w:r>
      <w:r>
        <w:rPr>
          <w:rFonts w:hint="eastAsia" w:ascii="仿宋_GB2312" w:hAnsi="仿宋_GB2312" w:eastAsia="仿宋_GB2312" w:cs="仿宋_GB2312"/>
          <w:szCs w:val="32"/>
          <w:highlight w:val="none"/>
          <w:u w:val="none"/>
        </w:rPr>
        <w:t>以书面形式向</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第三方监理咨询机构提出调整申请</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第三方监理咨询机构根据实际情况</w:t>
      </w:r>
      <w:r>
        <w:rPr>
          <w:rFonts w:hint="eastAsia" w:ascii="仿宋_GB2312" w:hAnsi="仿宋_GB2312" w:eastAsia="仿宋_GB2312" w:cs="仿宋_GB2312"/>
          <w:szCs w:val="32"/>
          <w:highlight w:val="none"/>
          <w:u w:val="none"/>
          <w:lang w:val="en-US" w:eastAsia="zh-CN"/>
        </w:rPr>
        <w:t>比对申请内容，并向</w:t>
      </w:r>
      <w:r>
        <w:rPr>
          <w:rFonts w:hint="eastAsia" w:ascii="仿宋_GB2312" w:hAnsi="仿宋_GB2312" w:eastAsia="仿宋_GB2312" w:cs="仿宋_GB2312"/>
          <w:szCs w:val="32"/>
          <w:highlight w:val="none"/>
          <w:u w:val="none"/>
        </w:rPr>
        <w:t>行业主管部门</w:t>
      </w:r>
      <w:r>
        <w:rPr>
          <w:rFonts w:hint="eastAsia" w:ascii="仿宋_GB2312" w:hAnsi="仿宋_GB2312" w:eastAsia="仿宋_GB2312" w:cs="仿宋_GB2312"/>
          <w:szCs w:val="32"/>
          <w:highlight w:val="none"/>
          <w:u w:val="none"/>
          <w:lang w:val="en-US" w:eastAsia="zh-CN"/>
        </w:rPr>
        <w:t>提出调整意见，</w:t>
      </w:r>
      <w:r>
        <w:rPr>
          <w:rFonts w:hint="eastAsia" w:ascii="仿宋_GB2312" w:hAnsi="仿宋_GB2312" w:eastAsia="仿宋_GB2312" w:cs="仿宋_GB2312"/>
          <w:szCs w:val="32"/>
          <w:highlight w:val="none"/>
          <w:u w:val="none"/>
        </w:rPr>
        <w:t>经审核批准</w:t>
      </w:r>
      <w:r>
        <w:rPr>
          <w:rFonts w:hint="eastAsia" w:ascii="仿宋_GB2312" w:hAnsi="仿宋_GB2312" w:eastAsia="仿宋_GB2312" w:cs="仿宋_GB2312"/>
          <w:szCs w:val="32"/>
          <w:highlight w:val="none"/>
          <w:u w:val="none"/>
          <w:lang w:val="en-US" w:eastAsia="zh-CN"/>
        </w:rPr>
        <w:t>后</w:t>
      </w:r>
      <w:r>
        <w:rPr>
          <w:rFonts w:hint="eastAsia" w:ascii="仿宋_GB2312" w:hAnsi="仿宋_GB2312" w:eastAsia="仿宋_GB2312" w:cs="仿宋_GB2312"/>
          <w:szCs w:val="32"/>
          <w:highlight w:val="none"/>
          <w:u w:val="none"/>
        </w:rPr>
        <w:t>，以书面形式</w:t>
      </w:r>
      <w:r>
        <w:rPr>
          <w:rFonts w:hint="eastAsia" w:ascii="仿宋_GB2312" w:hAnsi="仿宋_GB2312" w:eastAsia="仿宋_GB2312" w:cs="仿宋_GB2312"/>
          <w:szCs w:val="32"/>
          <w:highlight w:val="none"/>
          <w:u w:val="none"/>
          <w:lang w:val="en-US" w:eastAsia="zh-CN"/>
        </w:rPr>
        <w:t>报至市商务局进行调整。</w:t>
      </w:r>
      <w:r>
        <w:rPr>
          <w:rFonts w:hint="eastAsia" w:ascii="仿宋_GB2312" w:hAnsi="仿宋_GB2312" w:eastAsia="仿宋_GB2312" w:cs="仿宋_GB2312"/>
          <w:szCs w:val="32"/>
          <w:highlight w:val="none"/>
          <w:u w:val="none"/>
        </w:rPr>
        <w:t>如</w:t>
      </w:r>
      <w:r>
        <w:rPr>
          <w:rFonts w:hint="eastAsia" w:ascii="仿宋_GB2312" w:hAnsi="仿宋_GB2312" w:eastAsia="仿宋_GB2312" w:cs="仿宋_GB2312"/>
          <w:szCs w:val="32"/>
          <w:highlight w:val="none"/>
          <w:u w:val="none"/>
          <w:lang w:val="en-US" w:eastAsia="zh-CN"/>
        </w:rPr>
        <w:t>调整申请未被批准的</w:t>
      </w:r>
      <w:r>
        <w:rPr>
          <w:rFonts w:hint="eastAsia" w:ascii="仿宋_GB2312" w:hAnsi="仿宋_GB2312" w:eastAsia="仿宋_GB2312" w:cs="仿宋_GB2312"/>
          <w:szCs w:val="32"/>
          <w:highlight w:val="none"/>
          <w:u w:val="none"/>
        </w:rPr>
        <w:t>，需在当批次项目申报截止日期前重新进行申报，超期在下批次重新申报。</w:t>
      </w:r>
    </w:p>
    <w:p w14:paraId="72AA9BDB">
      <w:pPr>
        <w:pStyle w:val="8"/>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kern w:val="2"/>
          <w:sz w:val="32"/>
          <w:szCs w:val="32"/>
          <w:highlight w:val="none"/>
          <w:u w:val="none"/>
        </w:rPr>
        <w:t>第</w:t>
      </w:r>
      <w:r>
        <w:rPr>
          <w:rFonts w:hint="eastAsia" w:ascii="仿宋_GB2312" w:hAnsi="仿宋_GB2312" w:eastAsia="仿宋_GB2312" w:cs="仿宋_GB2312"/>
          <w:b/>
          <w:bCs/>
          <w:kern w:val="2"/>
          <w:sz w:val="32"/>
          <w:szCs w:val="32"/>
          <w:highlight w:val="none"/>
          <w:u w:val="none"/>
          <w:lang w:val="en-US" w:eastAsia="zh-CN"/>
        </w:rPr>
        <w:t>二十一</w:t>
      </w:r>
      <w:r>
        <w:rPr>
          <w:rFonts w:hint="eastAsia" w:ascii="仿宋_GB2312" w:hAnsi="仿宋_GB2312" w:eastAsia="仿宋_GB2312" w:cs="仿宋_GB2312"/>
          <w:b/>
          <w:bCs/>
          <w:kern w:val="2"/>
          <w:sz w:val="32"/>
          <w:szCs w:val="32"/>
          <w:highlight w:val="none"/>
          <w:u w:val="none"/>
        </w:rPr>
        <w:t>条</w:t>
      </w:r>
      <w:r>
        <w:rPr>
          <w:rFonts w:hint="eastAsia" w:ascii="仿宋_GB2312" w:hAnsi="仿宋_GB2312" w:eastAsia="仿宋_GB2312" w:cs="仿宋_GB2312"/>
          <w:kern w:val="2"/>
          <w:sz w:val="32"/>
          <w:szCs w:val="32"/>
          <w:highlight w:val="none"/>
          <w:u w:val="none"/>
        </w:rPr>
        <w:t xml:space="preserve"> 申报项目</w:t>
      </w:r>
      <w:r>
        <w:rPr>
          <w:rFonts w:hint="eastAsia" w:ascii="仿宋_GB2312" w:hAnsi="仿宋_GB2312" w:eastAsia="仿宋_GB2312" w:cs="仿宋_GB2312"/>
          <w:kern w:val="2"/>
          <w:sz w:val="32"/>
          <w:szCs w:val="32"/>
          <w:highlight w:val="none"/>
          <w:u w:val="none"/>
          <w:lang w:val="en-US" w:eastAsia="zh-CN"/>
        </w:rPr>
        <w:t>在建设周期内</w:t>
      </w:r>
      <w:r>
        <w:rPr>
          <w:rFonts w:hint="eastAsia" w:ascii="仿宋_GB2312" w:hAnsi="仿宋_GB2312" w:eastAsia="仿宋_GB2312" w:cs="仿宋_GB2312"/>
          <w:kern w:val="2"/>
          <w:sz w:val="32"/>
          <w:szCs w:val="32"/>
          <w:highlight w:val="none"/>
          <w:u w:val="none"/>
        </w:rPr>
        <w:t>出现撤项、烂尾等情形的，申报单位应主动退回已拨付的奖补资金。</w:t>
      </w:r>
    </w:p>
    <w:p w14:paraId="7A15AABF">
      <w:pPr>
        <w:pStyle w:val="8"/>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rPr>
          <w:rFonts w:hint="default" w:ascii="仿宋_GB2312" w:hAnsi="仿宋_GB2312" w:eastAsia="仿宋_GB2312" w:cs="仿宋_GB2312"/>
          <w:szCs w:val="32"/>
          <w:highlight w:val="none"/>
          <w:u w:val="none"/>
          <w:lang w:val="en-US"/>
        </w:rPr>
      </w:pPr>
      <w:r>
        <w:rPr>
          <w:rFonts w:hint="eastAsia" w:ascii="仿宋_GB2312" w:hAnsi="仿宋_GB2312" w:eastAsia="仿宋_GB2312" w:cs="仿宋_GB2312"/>
          <w:b/>
          <w:bCs/>
          <w:szCs w:val="32"/>
          <w:highlight w:val="none"/>
          <w:u w:val="none"/>
        </w:rPr>
        <w:t>第二十</w:t>
      </w:r>
      <w:r>
        <w:rPr>
          <w:rFonts w:hint="eastAsia" w:ascii="仿宋_GB2312" w:hAnsi="仿宋_GB2312" w:eastAsia="仿宋_GB2312" w:cs="仿宋_GB2312"/>
          <w:b/>
          <w:bCs/>
          <w:szCs w:val="32"/>
          <w:highlight w:val="none"/>
          <w:u w:val="none"/>
          <w:lang w:val="en-US" w:eastAsia="zh-CN"/>
        </w:rPr>
        <w:t>二</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独立第三方审计、监理咨询机构，对项目进行动态管理及验收。申报单位应</w:t>
      </w:r>
      <w:r>
        <w:rPr>
          <w:rFonts w:hint="eastAsia" w:ascii="仿宋_GB2312" w:hAnsi="仿宋_GB2312" w:eastAsia="仿宋_GB2312" w:cs="仿宋_GB2312"/>
          <w:szCs w:val="32"/>
          <w:highlight w:val="none"/>
          <w:u w:val="none"/>
          <w:lang w:val="en-US" w:eastAsia="zh-CN"/>
        </w:rPr>
        <w:t>根据本</w:t>
      </w:r>
      <w:r>
        <w:rPr>
          <w:rFonts w:hint="eastAsia" w:ascii="仿宋_GB2312" w:hAnsi="仿宋_GB2312" w:cs="仿宋_GB2312"/>
          <w:szCs w:val="32"/>
          <w:highlight w:val="none"/>
          <w:u w:val="none"/>
          <w:lang w:val="en-US" w:eastAsia="zh-CN"/>
        </w:rPr>
        <w:t>办法</w:t>
      </w:r>
      <w:r>
        <w:rPr>
          <w:rFonts w:hint="eastAsia" w:ascii="仿宋_GB2312" w:hAnsi="仿宋_GB2312" w:eastAsia="仿宋_GB2312" w:cs="仿宋_GB2312"/>
          <w:szCs w:val="32"/>
          <w:highlight w:val="none"/>
          <w:u w:val="none"/>
          <w:lang w:val="en-US" w:eastAsia="zh-CN"/>
        </w:rPr>
        <w:t>第</w:t>
      </w:r>
      <w:r>
        <w:rPr>
          <w:rFonts w:hint="eastAsia" w:ascii="仿宋_GB2312" w:hAnsi="仿宋_GB2312" w:cs="仿宋_GB2312"/>
          <w:szCs w:val="32"/>
          <w:highlight w:val="none"/>
          <w:u w:val="none"/>
          <w:lang w:val="en-US" w:eastAsia="zh-CN"/>
        </w:rPr>
        <w:t>九</w:t>
      </w:r>
      <w:r>
        <w:rPr>
          <w:rFonts w:hint="eastAsia" w:ascii="仿宋_GB2312" w:hAnsi="仿宋_GB2312" w:eastAsia="仿宋_GB2312" w:cs="仿宋_GB2312"/>
          <w:szCs w:val="32"/>
          <w:highlight w:val="none"/>
          <w:u w:val="none"/>
          <w:lang w:val="en-US" w:eastAsia="zh-CN"/>
        </w:rPr>
        <w:t>条第（六）项内容，出具</w:t>
      </w:r>
      <w:r>
        <w:rPr>
          <w:rFonts w:hint="eastAsia" w:ascii="仿宋_GB2312" w:hAnsi="仿宋_GB2312" w:eastAsia="仿宋_GB2312" w:cs="仿宋_GB2312"/>
          <w:szCs w:val="32"/>
          <w:highlight w:val="none"/>
          <w:u w:val="none"/>
        </w:rPr>
        <w:t>《企业申报项目相关内容承诺函》</w:t>
      </w:r>
      <w:r>
        <w:rPr>
          <w:rFonts w:hint="eastAsia" w:ascii="仿宋_GB2312" w:hAnsi="仿宋_GB2312" w:eastAsia="仿宋_GB2312" w:cs="仿宋_GB2312"/>
          <w:szCs w:val="32"/>
          <w:highlight w:val="none"/>
          <w:u w:val="none"/>
          <w:lang w:eastAsia="zh-CN"/>
        </w:rPr>
        <w:t>。</w:t>
      </w:r>
    </w:p>
    <w:p w14:paraId="583D370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Cs w:val="32"/>
          <w:highlight w:val="none"/>
          <w:u w:val="none"/>
        </w:rPr>
      </w:pPr>
      <w:r>
        <w:rPr>
          <w:rFonts w:hint="eastAsia" w:ascii="黑体" w:hAnsi="黑体" w:eastAsia="黑体" w:cs="黑体"/>
          <w:szCs w:val="32"/>
          <w:highlight w:val="none"/>
          <w:u w:val="none"/>
        </w:rPr>
        <w:t>第五章  项目</w:t>
      </w:r>
      <w:r>
        <w:rPr>
          <w:rFonts w:hint="eastAsia" w:ascii="黑体" w:hAnsi="黑体" w:eastAsia="黑体" w:cs="黑体"/>
          <w:szCs w:val="32"/>
          <w:highlight w:val="none"/>
          <w:u w:val="none"/>
          <w:lang w:val="en-US" w:eastAsia="zh-CN"/>
        </w:rPr>
        <w:t>预拨付及</w:t>
      </w:r>
      <w:r>
        <w:rPr>
          <w:rFonts w:hint="eastAsia" w:ascii="黑体" w:hAnsi="黑体" w:eastAsia="黑体" w:cs="黑体"/>
          <w:szCs w:val="32"/>
          <w:highlight w:val="none"/>
          <w:u w:val="none"/>
        </w:rPr>
        <w:t>验收</w:t>
      </w:r>
    </w:p>
    <w:p w14:paraId="217DD942">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第二十</w:t>
      </w:r>
      <w:r>
        <w:rPr>
          <w:rFonts w:hint="eastAsia" w:ascii="仿宋_GB2312" w:hAnsi="仿宋_GB2312" w:eastAsia="仿宋_GB2312" w:cs="仿宋_GB2312"/>
          <w:b/>
          <w:bCs/>
          <w:szCs w:val="32"/>
          <w:highlight w:val="none"/>
          <w:u w:val="none"/>
          <w:lang w:val="en-US" w:eastAsia="zh-CN"/>
        </w:rPr>
        <w:t>三</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项目按以下</w:t>
      </w:r>
      <w:r>
        <w:rPr>
          <w:rFonts w:hint="eastAsia" w:ascii="仿宋_GB2312" w:hAnsi="仿宋_GB2312" w:cs="仿宋_GB2312"/>
          <w:szCs w:val="32"/>
          <w:highlight w:val="none"/>
          <w:u w:val="none"/>
          <w:lang w:val="en-US" w:eastAsia="zh-CN"/>
        </w:rPr>
        <w:t>程序</w:t>
      </w:r>
      <w:r>
        <w:rPr>
          <w:rFonts w:hint="eastAsia" w:ascii="仿宋_GB2312" w:hAnsi="仿宋_GB2312" w:eastAsia="仿宋_GB2312" w:cs="仿宋_GB2312"/>
          <w:szCs w:val="32"/>
          <w:highlight w:val="none"/>
          <w:u w:val="none"/>
        </w:rPr>
        <w:t>开展</w:t>
      </w:r>
      <w:r>
        <w:rPr>
          <w:rFonts w:hint="eastAsia" w:ascii="仿宋_GB2312" w:hAnsi="仿宋_GB2312" w:cs="仿宋_GB2312"/>
          <w:szCs w:val="32"/>
          <w:highlight w:val="none"/>
          <w:u w:val="none"/>
          <w:lang w:val="en-US" w:eastAsia="zh-CN"/>
        </w:rPr>
        <w:t>专项资金预拨付、</w:t>
      </w:r>
      <w:r>
        <w:rPr>
          <w:rFonts w:hint="eastAsia" w:ascii="仿宋_GB2312" w:hAnsi="仿宋_GB2312" w:eastAsia="仿宋_GB2312" w:cs="仿宋_GB2312"/>
          <w:szCs w:val="32"/>
          <w:highlight w:val="none"/>
          <w:u w:val="none"/>
        </w:rPr>
        <w:t>验收：</w:t>
      </w:r>
    </w:p>
    <w:p w14:paraId="711612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（一）</w:t>
      </w:r>
      <w:r>
        <w:rPr>
          <w:rFonts w:hint="eastAsia" w:ascii="仿宋_GB2312" w:hAnsi="仿宋_GB2312" w:cs="仿宋_GB2312"/>
          <w:szCs w:val="32"/>
          <w:highlight w:val="none"/>
          <w:u w:val="none"/>
          <w:lang w:val="en-US" w:eastAsia="zh-CN"/>
        </w:rPr>
        <w:t>专项资金</w:t>
      </w:r>
      <w:r>
        <w:rPr>
          <w:rFonts w:hint="eastAsia" w:ascii="仿宋_GB2312" w:hAnsi="仿宋_GB2312" w:eastAsia="仿宋_GB2312" w:cs="仿宋_GB2312"/>
          <w:szCs w:val="32"/>
          <w:highlight w:val="none"/>
          <w:u w:val="none"/>
          <w:lang w:val="en-US" w:eastAsia="zh-CN"/>
        </w:rPr>
        <w:t>预拨付程序(单个项目仅开展一次预拨付)：</w:t>
      </w:r>
    </w:p>
    <w:p w14:paraId="2FA666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cs="仿宋_GB2312"/>
          <w:b w:val="0"/>
          <w:bCs w:val="0"/>
          <w:sz w:val="32"/>
          <w:szCs w:val="32"/>
          <w:highlight w:val="none"/>
          <w:u w:val="none"/>
          <w:lang w:val="en-US" w:eastAsia="zh-CN"/>
        </w:rPr>
        <w:t>1.</w:t>
      </w:r>
      <w:r>
        <w:rPr>
          <w:rFonts w:hint="eastAsia" w:ascii="仿宋_GB2312" w:hAnsi="仿宋_GB2312" w:eastAsia="仿宋_GB2312" w:cs="仿宋_GB2312"/>
          <w:b w:val="0"/>
          <w:bCs w:val="0"/>
          <w:sz w:val="32"/>
          <w:szCs w:val="32"/>
          <w:highlight w:val="none"/>
          <w:u w:val="none"/>
          <w:lang w:val="en-US" w:eastAsia="zh-CN"/>
        </w:rPr>
        <w:t>经独立第三方</w:t>
      </w:r>
      <w:r>
        <w:rPr>
          <w:rFonts w:hint="eastAsia" w:ascii="仿宋_GB2312" w:hAnsi="仿宋_GB2312" w:eastAsia="仿宋_GB2312" w:cs="仿宋_GB2312"/>
          <w:b w:val="0"/>
          <w:bCs w:val="0"/>
          <w:sz w:val="32"/>
          <w:szCs w:val="32"/>
          <w:highlight w:val="none"/>
          <w:u w:val="none"/>
        </w:rPr>
        <w:t>监理咨询机构</w:t>
      </w:r>
      <w:r>
        <w:rPr>
          <w:rFonts w:hint="eastAsia" w:ascii="仿宋_GB2312" w:hAnsi="仿宋_GB2312" w:eastAsia="仿宋_GB2312" w:cs="仿宋_GB2312"/>
          <w:b w:val="0"/>
          <w:bCs w:val="0"/>
          <w:sz w:val="32"/>
          <w:szCs w:val="32"/>
          <w:highlight w:val="none"/>
          <w:u w:val="none"/>
          <w:lang w:val="en-US" w:eastAsia="zh-CN"/>
        </w:rPr>
        <w:t>认定，项目单位</w:t>
      </w:r>
      <w:r>
        <w:rPr>
          <w:rFonts w:hint="eastAsia" w:ascii="仿宋_GB2312" w:eastAsia="仿宋_GB2312" w:cs="Times New Roman"/>
          <w:b w:val="0"/>
          <w:bCs w:val="0"/>
          <w:color w:val="auto"/>
          <w:sz w:val="32"/>
          <w:szCs w:val="32"/>
          <w:highlight w:val="none"/>
          <w:u w:val="none"/>
          <w:lang w:val="en-US" w:eastAsia="zh-CN"/>
        </w:rPr>
        <w:t>实际投资进度达</w:t>
      </w:r>
      <w:r>
        <w:rPr>
          <w:rFonts w:hint="eastAsia" w:ascii="仿宋_GB2312" w:cs="Times New Roman"/>
          <w:b w:val="0"/>
          <w:bCs w:val="0"/>
          <w:color w:val="auto"/>
          <w:sz w:val="32"/>
          <w:szCs w:val="32"/>
          <w:highlight w:val="none"/>
          <w:u w:val="none"/>
          <w:lang w:val="en-US" w:eastAsia="zh-CN"/>
        </w:rPr>
        <w:t>计划总投资额30</w:t>
      </w:r>
      <w:r>
        <w:rPr>
          <w:rFonts w:hint="eastAsia" w:ascii="仿宋_GB2312" w:eastAsia="仿宋_GB2312" w:cs="Times New Roman"/>
          <w:b w:val="0"/>
          <w:bCs w:val="0"/>
          <w:color w:val="auto"/>
          <w:sz w:val="32"/>
          <w:szCs w:val="32"/>
          <w:highlight w:val="none"/>
          <w:u w:val="none"/>
          <w:lang w:val="en-US" w:eastAsia="zh-CN"/>
        </w:rPr>
        <w:t>%以上</w:t>
      </w:r>
      <w:r>
        <w:rPr>
          <w:rFonts w:hint="eastAsia" w:ascii="仿宋_GB2312" w:cs="Times New Roman"/>
          <w:b w:val="0"/>
          <w:bCs w:val="0"/>
          <w:color w:val="auto"/>
          <w:sz w:val="32"/>
          <w:szCs w:val="32"/>
          <w:highlight w:val="none"/>
          <w:u w:val="none"/>
          <w:lang w:val="en-US" w:eastAsia="zh-CN"/>
        </w:rPr>
        <w:t>（含30%）</w:t>
      </w:r>
      <w:r>
        <w:rPr>
          <w:rFonts w:hint="eastAsia" w:ascii="仿宋_GB2312" w:eastAsia="仿宋_GB2312" w:cs="Times New Roman"/>
          <w:b w:val="0"/>
          <w:bCs w:val="0"/>
          <w:color w:val="auto"/>
          <w:sz w:val="32"/>
          <w:szCs w:val="32"/>
          <w:highlight w:val="none"/>
          <w:u w:val="none"/>
          <w:lang w:val="en-US" w:eastAsia="zh-CN"/>
        </w:rPr>
        <w:t>的链主项目、示范项目、生活必需品保供项目中的一类与二类项目、以及生活必需品保供项目中作为政府宏观调控、保供稳价、服务民生的信息监测和预测预警平台类公益性项目，</w:t>
      </w:r>
      <w:r>
        <w:rPr>
          <w:rFonts w:hint="eastAsia" w:ascii="仿宋_GB2312" w:hAnsi="仿宋_GB2312" w:eastAsia="仿宋_GB2312" w:cs="仿宋_GB2312"/>
          <w:i w:val="0"/>
          <w:iCs w:val="0"/>
          <w:caps w:val="0"/>
          <w:color w:val="0F1115"/>
          <w:spacing w:val="0"/>
          <w:sz w:val="32"/>
          <w:szCs w:val="32"/>
          <w:highlight w:val="none"/>
          <w:u w:val="none"/>
          <w:shd w:val="clear" w:color="auto" w:fill="FFFFFF"/>
        </w:rPr>
        <w:t>可申请</w:t>
      </w:r>
      <w:r>
        <w:rPr>
          <w:rFonts w:hint="eastAsia" w:ascii="仿宋_GB2312" w:hAnsi="仿宋_GB2312" w:cs="仿宋_GB2312"/>
          <w:i w:val="0"/>
          <w:iCs w:val="0"/>
          <w:caps w:val="0"/>
          <w:color w:val="0F1115"/>
          <w:spacing w:val="0"/>
          <w:sz w:val="32"/>
          <w:szCs w:val="32"/>
          <w:highlight w:val="none"/>
          <w:u w:val="none"/>
          <w:shd w:val="clear" w:color="auto" w:fill="FFFFFF"/>
          <w:lang w:val="en-US" w:eastAsia="zh-CN"/>
        </w:rPr>
        <w:t>专项</w:t>
      </w:r>
      <w:r>
        <w:rPr>
          <w:rFonts w:hint="eastAsia" w:ascii="仿宋_GB2312" w:eastAsia="仿宋_GB2312" w:cs="Times New Roman"/>
          <w:b w:val="0"/>
          <w:bCs w:val="0"/>
          <w:color w:val="auto"/>
          <w:sz w:val="32"/>
          <w:szCs w:val="32"/>
          <w:highlight w:val="none"/>
          <w:u w:val="none"/>
          <w:lang w:val="en-US" w:eastAsia="zh-CN"/>
        </w:rPr>
        <w:t>资金预拨付。</w:t>
      </w:r>
      <w:r>
        <w:rPr>
          <w:rFonts w:hint="eastAsia" w:ascii="仿宋_GB2312" w:hAnsi="仿宋_GB2312" w:eastAsia="仿宋_GB2312" w:cs="仿宋_GB2312"/>
          <w:b w:val="0"/>
          <w:bCs w:val="0"/>
          <w:sz w:val="32"/>
          <w:szCs w:val="32"/>
          <w:highlight w:val="none"/>
          <w:u w:val="none"/>
          <w:lang w:val="en-US" w:eastAsia="zh-CN"/>
        </w:rPr>
        <w:t>项目单位</w:t>
      </w:r>
      <w:r>
        <w:rPr>
          <w:rFonts w:hint="eastAsia" w:ascii="仿宋_GB2312" w:hAnsi="仿宋_GB2312" w:cs="仿宋_GB2312"/>
          <w:szCs w:val="32"/>
          <w:highlight w:val="none"/>
          <w:u w:val="none"/>
          <w:lang w:val="en-US" w:eastAsia="zh-CN"/>
        </w:rPr>
        <w:t>依据</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lang w:val="en-US" w:eastAsia="zh-CN"/>
        </w:rPr>
        <w:t>长春市现代商贸流通体系试点城市建设日常监管制度</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rPr>
        <w:t>要求</w:t>
      </w:r>
      <w:r>
        <w:rPr>
          <w:rFonts w:hint="eastAsia" w:ascii="仿宋_GB2312" w:hAnsi="仿宋_GB2312" w:cs="仿宋_GB2312"/>
          <w:szCs w:val="32"/>
          <w:highlight w:val="none"/>
          <w:u w:val="none"/>
          <w:lang w:val="en-US" w:eastAsia="zh-CN"/>
        </w:rPr>
        <w:t>准备</w:t>
      </w:r>
      <w:r>
        <w:rPr>
          <w:rFonts w:hint="eastAsia" w:ascii="仿宋_GB2312" w:hAnsi="仿宋_GB2312" w:eastAsia="仿宋_GB2312" w:cs="仿宋_GB2312"/>
          <w:szCs w:val="32"/>
          <w:highlight w:val="none"/>
          <w:u w:val="none"/>
        </w:rPr>
        <w:t>材料</w:t>
      </w:r>
      <w:r>
        <w:rPr>
          <w:rFonts w:hint="eastAsia" w:ascii="仿宋_GB2312" w:hAnsi="仿宋_GB2312" w:cs="仿宋_GB2312"/>
          <w:szCs w:val="32"/>
          <w:highlight w:val="none"/>
          <w:u w:val="none"/>
          <w:lang w:eastAsia="zh-CN"/>
        </w:rPr>
        <w:t>，</w:t>
      </w:r>
      <w:r>
        <w:rPr>
          <w:rFonts w:hint="eastAsia" w:ascii="仿宋_GB2312" w:hAnsi="仿宋_GB2312" w:cs="仿宋_GB2312"/>
          <w:szCs w:val="32"/>
          <w:highlight w:val="none"/>
          <w:u w:val="none"/>
          <w:lang w:val="en-US" w:eastAsia="zh-CN"/>
        </w:rPr>
        <w:t>并</w:t>
      </w:r>
      <w:r>
        <w:rPr>
          <w:rFonts w:hint="eastAsia" w:ascii="仿宋_GB2312" w:hAnsi="仿宋_GB2312" w:eastAsia="仿宋_GB2312" w:cs="仿宋_GB2312"/>
          <w:sz w:val="32"/>
          <w:szCs w:val="32"/>
          <w:highlight w:val="none"/>
          <w:u w:val="none"/>
        </w:rPr>
        <w:t>向独立第三方监理咨询机构提</w:t>
      </w:r>
      <w:r>
        <w:rPr>
          <w:rFonts w:hint="eastAsia" w:ascii="仿宋_GB2312" w:hAnsi="仿宋_GB2312" w:cs="仿宋_GB2312"/>
          <w:sz w:val="32"/>
          <w:szCs w:val="32"/>
          <w:highlight w:val="none"/>
          <w:u w:val="none"/>
          <w:lang w:val="en-US" w:eastAsia="zh-CN"/>
        </w:rPr>
        <w:t>交项目</w:t>
      </w:r>
      <w:r>
        <w:rPr>
          <w:rFonts w:hint="eastAsia" w:ascii="仿宋_GB2312" w:hAnsi="仿宋_GB2312" w:eastAsia="仿宋_GB2312" w:cs="仿宋_GB2312"/>
          <w:sz w:val="32"/>
          <w:szCs w:val="32"/>
          <w:highlight w:val="none"/>
          <w:u w:val="none"/>
          <w:lang w:val="en-US" w:eastAsia="zh-CN"/>
        </w:rPr>
        <w:t>资金预拨付</w:t>
      </w:r>
      <w:r>
        <w:rPr>
          <w:rFonts w:hint="eastAsia" w:ascii="仿宋_GB2312" w:hAnsi="仿宋_GB2312" w:eastAsia="仿宋_GB2312" w:cs="仿宋_GB2312"/>
          <w:sz w:val="32"/>
          <w:szCs w:val="32"/>
          <w:highlight w:val="none"/>
          <w:u w:val="none"/>
        </w:rPr>
        <w:t>申请。</w:t>
      </w:r>
    </w:p>
    <w:p w14:paraId="1F922EE3">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cs="仿宋_GB2312"/>
          <w:kern w:val="2"/>
          <w:sz w:val="32"/>
          <w:szCs w:val="32"/>
          <w:highlight w:val="none"/>
          <w:u w:val="none"/>
          <w:lang w:val="en-US" w:eastAsia="zh-CN" w:bidi="ar-SA"/>
        </w:rPr>
        <w:t>2.</w:t>
      </w:r>
      <w:r>
        <w:rPr>
          <w:rFonts w:hint="eastAsia" w:ascii="仿宋_GB2312" w:hAnsi="仿宋_GB2312" w:eastAsia="仿宋_GB2312" w:cs="仿宋_GB2312"/>
          <w:sz w:val="32"/>
          <w:szCs w:val="32"/>
          <w:highlight w:val="none"/>
          <w:u w:val="none"/>
        </w:rPr>
        <w:t>独立第三方监理咨询机构收到申请后，通过实地调研核查项目建设</w:t>
      </w:r>
      <w:r>
        <w:rPr>
          <w:rFonts w:hint="eastAsia" w:ascii="仿宋_GB2312" w:hAnsi="仿宋_GB2312" w:eastAsia="仿宋_GB2312" w:cs="仿宋_GB2312"/>
          <w:sz w:val="32"/>
          <w:szCs w:val="32"/>
          <w:highlight w:val="none"/>
          <w:u w:val="none"/>
          <w:lang w:val="en-US" w:eastAsia="zh-CN"/>
        </w:rPr>
        <w:t>进度</w:t>
      </w:r>
      <w:r>
        <w:rPr>
          <w:rFonts w:hint="eastAsia" w:ascii="仿宋_GB2312" w:hAnsi="仿宋_GB2312" w:cs="仿宋_GB2312"/>
          <w:sz w:val="32"/>
          <w:szCs w:val="32"/>
          <w:highlight w:val="none"/>
          <w:u w:val="none"/>
          <w:lang w:val="en-US" w:eastAsia="zh-CN"/>
        </w:rPr>
        <w:t>及</w:t>
      </w:r>
      <w:r>
        <w:rPr>
          <w:rFonts w:hint="eastAsia" w:ascii="仿宋_GB2312" w:hAnsi="仿宋_GB2312" w:eastAsia="仿宋_GB2312" w:cs="仿宋_GB2312"/>
          <w:sz w:val="32"/>
          <w:szCs w:val="32"/>
          <w:highlight w:val="none"/>
          <w:u w:val="none"/>
        </w:rPr>
        <w:t>材料完整性，</w:t>
      </w:r>
      <w:r>
        <w:rPr>
          <w:rFonts w:hint="eastAsia" w:ascii="仿宋_GB2312" w:hAnsi="仿宋_GB2312" w:eastAsia="仿宋_GB2312" w:cs="仿宋_GB2312"/>
          <w:sz w:val="32"/>
          <w:szCs w:val="32"/>
          <w:highlight w:val="none"/>
          <w:u w:val="none"/>
          <w:lang w:val="en-US" w:eastAsia="zh-CN"/>
        </w:rPr>
        <w:t>结合</w:t>
      </w:r>
      <w:r>
        <w:rPr>
          <w:rFonts w:hint="eastAsia" w:ascii="仿宋_GB2312" w:hAnsi="仿宋_GB2312" w:cs="仿宋_GB2312"/>
          <w:sz w:val="32"/>
          <w:szCs w:val="32"/>
          <w:highlight w:val="none"/>
          <w:u w:val="none"/>
          <w:lang w:val="en-US" w:eastAsia="zh-CN"/>
        </w:rPr>
        <w:t>其项目</w:t>
      </w:r>
      <w:r>
        <w:rPr>
          <w:rFonts w:hint="eastAsia" w:ascii="仿宋_GB2312" w:hAnsi="仿宋_GB2312" w:eastAsia="仿宋_GB2312" w:cs="仿宋_GB2312"/>
          <w:sz w:val="32"/>
          <w:szCs w:val="32"/>
          <w:highlight w:val="none"/>
          <w:u w:val="none"/>
          <w:lang w:val="en-US" w:eastAsia="zh-CN"/>
        </w:rPr>
        <w:t>入库等级</w:t>
      </w:r>
      <w:r>
        <w:rPr>
          <w:rFonts w:hint="eastAsia" w:ascii="仿宋_GB2312" w:hAnsi="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形成项目</w:t>
      </w:r>
      <w:r>
        <w:rPr>
          <w:rFonts w:hint="eastAsia" w:ascii="仿宋_GB2312" w:hAnsi="仿宋_GB2312" w:eastAsia="仿宋_GB2312" w:cs="仿宋_GB2312"/>
          <w:sz w:val="32"/>
          <w:szCs w:val="32"/>
          <w:highlight w:val="none"/>
          <w:u w:val="none"/>
          <w:lang w:val="en-US" w:eastAsia="zh-CN"/>
        </w:rPr>
        <w:t>踏查汇总报告</w:t>
      </w:r>
      <w:r>
        <w:rPr>
          <w:rFonts w:hint="eastAsia" w:ascii="仿宋_GB2312" w:hAnsi="仿宋_GB2312" w:eastAsia="仿宋_GB2312" w:cs="仿宋_GB2312"/>
          <w:sz w:val="32"/>
          <w:szCs w:val="32"/>
          <w:highlight w:val="none"/>
          <w:u w:val="none"/>
        </w:rPr>
        <w:t>及项目资金</w:t>
      </w:r>
      <w:r>
        <w:rPr>
          <w:rFonts w:hint="eastAsia" w:ascii="仿宋_GB2312" w:hAnsi="仿宋_GB2312" w:eastAsia="仿宋_GB2312" w:cs="仿宋_GB2312"/>
          <w:sz w:val="32"/>
          <w:szCs w:val="32"/>
          <w:highlight w:val="none"/>
          <w:u w:val="none"/>
          <w:lang w:val="en-US" w:eastAsia="zh-CN"/>
        </w:rPr>
        <w:t>预拨付</w:t>
      </w:r>
      <w:r>
        <w:rPr>
          <w:rFonts w:hint="eastAsia" w:ascii="仿宋_GB2312" w:hAnsi="仿宋_GB2312" w:eastAsia="仿宋_GB2312" w:cs="仿宋_GB2312"/>
          <w:sz w:val="32"/>
          <w:szCs w:val="32"/>
          <w:highlight w:val="none"/>
          <w:u w:val="none"/>
        </w:rPr>
        <w:t>意见书</w:t>
      </w:r>
      <w:r>
        <w:rPr>
          <w:rFonts w:hint="eastAsia" w:ascii="仿宋_GB2312" w:hAnsi="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由独立第三方监理咨询机构将项目</w:t>
      </w:r>
      <w:r>
        <w:rPr>
          <w:rFonts w:hint="eastAsia" w:ascii="仿宋_GB2312" w:hAnsi="仿宋_GB2312" w:eastAsia="仿宋_GB2312" w:cs="仿宋_GB2312"/>
          <w:sz w:val="32"/>
          <w:szCs w:val="32"/>
          <w:highlight w:val="none"/>
          <w:u w:val="none"/>
          <w:lang w:val="en-US" w:eastAsia="zh-CN"/>
        </w:rPr>
        <w:t>踏查汇总报告</w:t>
      </w:r>
      <w:r>
        <w:rPr>
          <w:rFonts w:hint="eastAsia" w:ascii="仿宋_GB2312" w:hAnsi="仿宋_GB2312" w:eastAsia="仿宋_GB2312" w:cs="仿宋_GB2312"/>
          <w:sz w:val="32"/>
          <w:szCs w:val="32"/>
          <w:highlight w:val="none"/>
          <w:u w:val="none"/>
        </w:rPr>
        <w:t>及项目资金</w:t>
      </w:r>
      <w:r>
        <w:rPr>
          <w:rFonts w:hint="eastAsia" w:ascii="仿宋_GB2312" w:hAnsi="仿宋_GB2312" w:eastAsia="仿宋_GB2312" w:cs="仿宋_GB2312"/>
          <w:sz w:val="32"/>
          <w:szCs w:val="32"/>
          <w:highlight w:val="none"/>
          <w:u w:val="none"/>
          <w:lang w:val="en-US" w:eastAsia="zh-CN"/>
        </w:rPr>
        <w:t>预</w:t>
      </w:r>
      <w:r>
        <w:rPr>
          <w:rFonts w:hint="eastAsia" w:ascii="仿宋_GB2312" w:hAnsi="仿宋_GB2312" w:eastAsia="仿宋_GB2312" w:cs="仿宋_GB2312"/>
          <w:sz w:val="32"/>
          <w:szCs w:val="32"/>
          <w:highlight w:val="none"/>
          <w:u w:val="none"/>
        </w:rPr>
        <w:t>拨付意见书</w:t>
      </w:r>
      <w:r>
        <w:rPr>
          <w:rFonts w:hint="eastAsia" w:ascii="仿宋_GB2312" w:hAnsi="仿宋_GB2312" w:eastAsia="仿宋_GB2312" w:cs="仿宋_GB2312"/>
          <w:szCs w:val="32"/>
          <w:highlight w:val="none"/>
          <w:u w:val="none"/>
        </w:rPr>
        <w:t>上报至</w:t>
      </w:r>
      <w:r>
        <w:rPr>
          <w:rFonts w:hint="eastAsia" w:ascii="仿宋_GB2312" w:hAnsi="仿宋_GB2312" w:cs="仿宋_GB2312"/>
          <w:szCs w:val="32"/>
          <w:highlight w:val="none"/>
          <w:u w:val="none"/>
          <w:lang w:val="en-US" w:eastAsia="zh-CN"/>
        </w:rPr>
        <w:t>行业主管部门</w:t>
      </w:r>
      <w:r>
        <w:rPr>
          <w:rFonts w:hint="eastAsia" w:ascii="仿宋_GB2312" w:hAnsi="仿宋_GB2312" w:eastAsia="仿宋_GB2312" w:cs="仿宋_GB2312"/>
          <w:szCs w:val="32"/>
          <w:highlight w:val="none"/>
          <w:u w:val="none"/>
        </w:rPr>
        <w:t>。其中，再生资源回收方向相关项目需先提交至行业主管部门市城管局，市城管局确认后，再向市商务局提交书面确认材料。</w:t>
      </w:r>
    </w:p>
    <w:p w14:paraId="19FADD1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cs="仿宋_GB2312"/>
          <w:sz w:val="32"/>
          <w:szCs w:val="32"/>
          <w:highlight w:val="none"/>
          <w:u w:val="none"/>
          <w:lang w:val="en-US" w:eastAsia="zh-CN"/>
        </w:rPr>
        <w:t>3.</w:t>
      </w:r>
      <w:r>
        <w:rPr>
          <w:rFonts w:hint="eastAsia" w:ascii="仿宋_GB2312" w:hAnsi="仿宋_GB2312" w:eastAsia="仿宋_GB2312" w:cs="仿宋_GB2312"/>
          <w:sz w:val="32"/>
          <w:szCs w:val="32"/>
          <w:highlight w:val="none"/>
          <w:u w:val="none"/>
        </w:rPr>
        <w:t>行业主管部门收到独立第三方监理咨询机构</w:t>
      </w:r>
      <w:r>
        <w:rPr>
          <w:rFonts w:hint="eastAsia" w:ascii="仿宋_GB2312" w:hAnsi="仿宋_GB2312" w:cs="仿宋_GB2312"/>
          <w:sz w:val="32"/>
          <w:szCs w:val="32"/>
          <w:highlight w:val="none"/>
          <w:u w:val="none"/>
          <w:lang w:val="en-US" w:eastAsia="zh-CN"/>
        </w:rPr>
        <w:t>上报的</w:t>
      </w:r>
      <w:r>
        <w:rPr>
          <w:rFonts w:hint="eastAsia" w:ascii="仿宋_GB2312" w:hAnsi="仿宋_GB2312" w:eastAsia="仿宋_GB2312" w:cs="仿宋_GB2312"/>
          <w:sz w:val="32"/>
          <w:szCs w:val="32"/>
          <w:highlight w:val="none"/>
          <w:u w:val="none"/>
        </w:rPr>
        <w:t>项目</w:t>
      </w:r>
      <w:r>
        <w:rPr>
          <w:rFonts w:hint="eastAsia" w:ascii="仿宋_GB2312" w:hAnsi="仿宋_GB2312" w:eastAsia="仿宋_GB2312" w:cs="仿宋_GB2312"/>
          <w:sz w:val="32"/>
          <w:szCs w:val="32"/>
          <w:highlight w:val="none"/>
          <w:u w:val="none"/>
          <w:lang w:val="en-US" w:eastAsia="zh-CN"/>
        </w:rPr>
        <w:t>踏查汇总报告</w:t>
      </w:r>
      <w:r>
        <w:rPr>
          <w:rFonts w:hint="eastAsia" w:ascii="仿宋_GB2312" w:hAnsi="仿宋_GB2312" w:eastAsia="仿宋_GB2312" w:cs="仿宋_GB2312"/>
          <w:sz w:val="32"/>
          <w:szCs w:val="32"/>
          <w:highlight w:val="none"/>
          <w:u w:val="none"/>
        </w:rPr>
        <w:t>及项目资金</w:t>
      </w:r>
      <w:r>
        <w:rPr>
          <w:rFonts w:hint="eastAsia" w:ascii="仿宋_GB2312" w:hAnsi="仿宋_GB2312" w:eastAsia="仿宋_GB2312" w:cs="仿宋_GB2312"/>
          <w:sz w:val="32"/>
          <w:szCs w:val="32"/>
          <w:highlight w:val="none"/>
          <w:u w:val="none"/>
          <w:lang w:val="en-US" w:eastAsia="zh-CN"/>
        </w:rPr>
        <w:t>预拨付</w:t>
      </w:r>
      <w:r>
        <w:rPr>
          <w:rFonts w:hint="eastAsia" w:ascii="仿宋_GB2312" w:hAnsi="仿宋_GB2312" w:eastAsia="仿宋_GB2312" w:cs="仿宋_GB2312"/>
          <w:sz w:val="32"/>
          <w:szCs w:val="32"/>
          <w:highlight w:val="none"/>
          <w:u w:val="none"/>
        </w:rPr>
        <w:t>意见书后，报请</w:t>
      </w:r>
      <w:r>
        <w:rPr>
          <w:rFonts w:hint="eastAsia" w:ascii="仿宋_GB2312" w:hAnsi="仿宋_GB2312" w:eastAsia="仿宋_GB2312" w:cs="仿宋_GB2312"/>
          <w:szCs w:val="32"/>
          <w:highlight w:val="none"/>
          <w:u w:val="none"/>
        </w:rPr>
        <w:t>市商务局、市城管局（仅参加再生资源回收方向相关项目）党组会</w:t>
      </w:r>
      <w:r>
        <w:rPr>
          <w:rFonts w:hint="eastAsia" w:ascii="仿宋_GB2312" w:hAnsi="仿宋_GB2312" w:cs="仿宋_GB2312"/>
          <w:szCs w:val="32"/>
          <w:highlight w:val="none"/>
          <w:u w:val="none"/>
          <w:lang w:val="en-US" w:eastAsia="zh-CN"/>
        </w:rPr>
        <w:t>审议</w:t>
      </w:r>
      <w:r>
        <w:rPr>
          <w:rFonts w:hint="eastAsia" w:ascii="仿宋_GB2312" w:hAnsi="仿宋_GB2312" w:eastAsia="仿宋_GB2312" w:cs="仿宋_GB2312"/>
          <w:sz w:val="32"/>
          <w:szCs w:val="32"/>
          <w:highlight w:val="none"/>
          <w:u w:val="none"/>
        </w:rPr>
        <w:t>，由市商务局汇总拨付意见后提交</w:t>
      </w:r>
      <w:r>
        <w:rPr>
          <w:rFonts w:hint="eastAsia" w:ascii="仿宋_GB2312" w:hAnsi="仿宋_GB2312" w:eastAsia="仿宋_GB2312" w:cs="仿宋_GB2312"/>
          <w:szCs w:val="32"/>
          <w:highlight w:val="none"/>
          <w:u w:val="none"/>
        </w:rPr>
        <w:t>至市财政局。未经行业主管单位书面确认的资金</w:t>
      </w:r>
      <w:r>
        <w:rPr>
          <w:rFonts w:hint="eastAsia" w:ascii="仿宋_GB2312" w:hAnsi="仿宋_GB2312" w:eastAsia="仿宋_GB2312" w:cs="仿宋_GB2312"/>
          <w:szCs w:val="32"/>
          <w:highlight w:val="none"/>
          <w:u w:val="none"/>
          <w:lang w:val="en-US" w:eastAsia="zh-CN"/>
        </w:rPr>
        <w:t>预</w:t>
      </w:r>
      <w:r>
        <w:rPr>
          <w:rFonts w:hint="eastAsia" w:ascii="仿宋_GB2312" w:hAnsi="仿宋_GB2312" w:eastAsia="仿宋_GB2312" w:cs="仿宋_GB2312"/>
          <w:szCs w:val="32"/>
          <w:highlight w:val="none"/>
          <w:u w:val="none"/>
        </w:rPr>
        <w:t>拨付意见无效。</w:t>
      </w:r>
    </w:p>
    <w:p w14:paraId="1B1D27E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4.采取专项资金预拨付方式的项目，企业需在市商务局选聘的合作银行开立对公结算账户(一般户),作为市商务局、申报企业与合作银行三方共同设立的企业“共管账户”</w:t>
      </w:r>
      <w:r>
        <w:rPr>
          <w:rFonts w:hint="eastAsia" w:ascii="仿宋_GB2312" w:hAnsi="仿宋_GB2312" w:cs="仿宋_GB2312"/>
          <w:szCs w:val="32"/>
          <w:highlight w:val="none"/>
          <w:u w:val="none"/>
          <w:lang w:val="en-US" w:eastAsia="zh-CN"/>
        </w:rPr>
        <w:t>，</w:t>
      </w:r>
      <w:r>
        <w:rPr>
          <w:rFonts w:hint="eastAsia" w:ascii="仿宋_GB2312" w:hAnsi="仿宋_GB2312" w:eastAsia="仿宋_GB2312" w:cs="仿宋_GB2312"/>
          <w:szCs w:val="32"/>
          <w:highlight w:val="none"/>
          <w:u w:val="none"/>
          <w:lang w:val="en-US" w:eastAsia="zh-CN"/>
        </w:rPr>
        <w:t>根据相关协议对预拨付资金进行管理。</w:t>
      </w:r>
    </w:p>
    <w:p w14:paraId="0FA69C4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5.市商务局根据项目实际投资金额与项目分级对应的比例进行核算奖补资金</w:t>
      </w:r>
      <w:r>
        <w:rPr>
          <w:rFonts w:hint="eastAsia" w:ascii="仿宋_GB2312" w:hAnsi="仿宋_GB2312" w:cs="仿宋_GB2312"/>
          <w:szCs w:val="32"/>
          <w:highlight w:val="none"/>
          <w:u w:val="none"/>
          <w:lang w:val="en-US" w:eastAsia="zh-CN"/>
        </w:rPr>
        <w:t>，</w:t>
      </w:r>
      <w:r>
        <w:rPr>
          <w:rFonts w:hint="eastAsia" w:ascii="仿宋_GB2312" w:hAnsi="仿宋_GB2312" w:eastAsia="仿宋_GB2312" w:cs="仿宋_GB2312"/>
          <w:szCs w:val="32"/>
          <w:highlight w:val="none"/>
          <w:u w:val="none"/>
          <w:lang w:val="en-US" w:eastAsia="zh-CN"/>
        </w:rPr>
        <w:t>待项目完成终期验收后解除共管账户限制</w:t>
      </w:r>
      <w:r>
        <w:rPr>
          <w:rFonts w:hint="eastAsia" w:ascii="仿宋_GB2312" w:hAnsi="仿宋_GB2312" w:cs="仿宋_GB2312"/>
          <w:szCs w:val="32"/>
          <w:highlight w:val="none"/>
          <w:u w:val="none"/>
          <w:lang w:val="en-US" w:eastAsia="zh-CN"/>
        </w:rPr>
        <w:t>，</w:t>
      </w:r>
      <w:r>
        <w:rPr>
          <w:rFonts w:hint="eastAsia" w:ascii="仿宋_GB2312" w:hAnsi="仿宋_GB2312" w:eastAsia="仿宋_GB2312" w:cs="仿宋_GB2312"/>
          <w:szCs w:val="32"/>
          <w:highlight w:val="none"/>
          <w:u w:val="none"/>
          <w:lang w:val="en-US" w:eastAsia="zh-CN"/>
        </w:rPr>
        <w:t>确保重点项目资金足额保障。</w:t>
      </w:r>
    </w:p>
    <w:p w14:paraId="4A7C045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6.2027年1月1日以后，试点城市专项资金向企业拨付率达到80%</w:t>
      </w:r>
      <w:r>
        <w:rPr>
          <w:rFonts w:hint="eastAsia" w:ascii="仿宋_GB2312" w:hAnsi="仿宋_GB2312" w:cs="仿宋_GB2312"/>
          <w:szCs w:val="32"/>
          <w:highlight w:val="none"/>
          <w:u w:val="none"/>
          <w:lang w:val="en-US" w:eastAsia="zh-CN"/>
        </w:rPr>
        <w:t>，</w:t>
      </w:r>
      <w:r>
        <w:rPr>
          <w:rFonts w:hint="eastAsia" w:ascii="仿宋_GB2312" w:hAnsi="仿宋_GB2312" w:eastAsia="仿宋_GB2312" w:cs="仿宋_GB2312"/>
          <w:szCs w:val="32"/>
          <w:highlight w:val="none"/>
          <w:u w:val="none"/>
          <w:lang w:val="en-US" w:eastAsia="zh-CN"/>
        </w:rPr>
        <w:t>若此时项目库中链主项目、示范项目、及生活必需品保供项目中的一类、二类项目出现资金缺口，市商务局将对投资比例未达到计划总投资额80%的预拨付项目的预拨付资金进行收回。</w:t>
      </w:r>
    </w:p>
    <w:p w14:paraId="54580DF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（二）</w:t>
      </w:r>
      <w:bookmarkStart w:id="25" w:name="_Hlk200366411"/>
      <w:r>
        <w:rPr>
          <w:rFonts w:hint="eastAsia" w:ascii="仿宋_GB2312" w:hAnsi="仿宋_GB2312" w:eastAsia="仿宋_GB2312" w:cs="仿宋_GB2312"/>
          <w:sz w:val="32"/>
          <w:szCs w:val="32"/>
          <w:highlight w:val="none"/>
          <w:u w:val="none"/>
          <w:lang w:val="en-US" w:eastAsia="zh-CN"/>
        </w:rPr>
        <w:t>项目验收</w:t>
      </w:r>
      <w:r>
        <w:rPr>
          <w:rFonts w:hint="eastAsia" w:ascii="仿宋_GB2312" w:hAnsi="仿宋_GB2312" w:cs="仿宋_GB2312"/>
          <w:sz w:val="32"/>
          <w:szCs w:val="32"/>
          <w:highlight w:val="none"/>
          <w:u w:val="none"/>
          <w:lang w:val="en-US" w:eastAsia="zh-CN"/>
        </w:rPr>
        <w:t>程序</w:t>
      </w:r>
      <w:r>
        <w:rPr>
          <w:rFonts w:hint="eastAsia" w:ascii="仿宋_GB2312" w:hAnsi="仿宋_GB2312" w:eastAsia="仿宋_GB2312" w:cs="仿宋_GB2312"/>
          <w:sz w:val="32"/>
          <w:szCs w:val="32"/>
          <w:highlight w:val="none"/>
          <w:u w:val="none"/>
          <w:lang w:val="en-US" w:eastAsia="zh-CN"/>
        </w:rPr>
        <w:t>：</w:t>
      </w:r>
    </w:p>
    <w:p w14:paraId="6480994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cs="仿宋_GB2312"/>
          <w:szCs w:val="32"/>
          <w:highlight w:val="none"/>
          <w:u w:val="none"/>
          <w:lang w:val="en-US" w:eastAsia="zh-CN"/>
        </w:rPr>
        <w:t>1.</w:t>
      </w:r>
      <w:r>
        <w:rPr>
          <w:rFonts w:hint="eastAsia" w:ascii="仿宋_GB2312" w:hAnsi="仿宋_GB2312" w:eastAsia="仿宋_GB2312" w:cs="仿宋_GB2312"/>
          <w:szCs w:val="32"/>
          <w:highlight w:val="none"/>
          <w:u w:val="none"/>
        </w:rPr>
        <w:t>项目单位</w:t>
      </w:r>
      <w:bookmarkEnd w:id="25"/>
      <w:r>
        <w:rPr>
          <w:rFonts w:hint="eastAsia" w:ascii="仿宋_GB2312" w:hAnsi="仿宋_GB2312" w:eastAsia="仿宋_GB2312" w:cs="仿宋_GB2312"/>
          <w:szCs w:val="32"/>
          <w:highlight w:val="none"/>
          <w:u w:val="none"/>
        </w:rPr>
        <w:t>满足验收条件的，</w:t>
      </w:r>
      <w:r>
        <w:rPr>
          <w:rFonts w:hint="eastAsia" w:ascii="仿宋_GB2312" w:hAnsi="仿宋_GB2312" w:cs="仿宋_GB2312"/>
          <w:szCs w:val="32"/>
          <w:highlight w:val="none"/>
          <w:u w:val="none"/>
          <w:lang w:val="en-US" w:eastAsia="zh-CN"/>
        </w:rPr>
        <w:t>依据</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lang w:val="en-US" w:eastAsia="zh-CN"/>
        </w:rPr>
        <w:t>长春市现代商贸流通体系试点城市建设日常监管制度</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rPr>
        <w:t>要求</w:t>
      </w:r>
      <w:r>
        <w:rPr>
          <w:rFonts w:hint="eastAsia" w:ascii="仿宋_GB2312" w:hAnsi="仿宋_GB2312" w:cs="仿宋_GB2312"/>
          <w:szCs w:val="32"/>
          <w:highlight w:val="none"/>
          <w:u w:val="none"/>
          <w:lang w:val="en-US" w:eastAsia="zh-CN"/>
        </w:rPr>
        <w:t>准备</w:t>
      </w:r>
      <w:r>
        <w:rPr>
          <w:rFonts w:hint="eastAsia" w:ascii="仿宋_GB2312" w:hAnsi="仿宋_GB2312" w:eastAsia="仿宋_GB2312" w:cs="仿宋_GB2312"/>
          <w:szCs w:val="32"/>
          <w:highlight w:val="none"/>
          <w:u w:val="none"/>
        </w:rPr>
        <w:t>材料，</w:t>
      </w:r>
      <w:r>
        <w:rPr>
          <w:rFonts w:hint="eastAsia" w:ascii="仿宋_GB2312" w:hAnsi="仿宋_GB2312" w:cs="仿宋_GB2312"/>
          <w:szCs w:val="32"/>
          <w:highlight w:val="none"/>
          <w:u w:val="none"/>
          <w:lang w:val="en-US" w:eastAsia="zh-CN"/>
        </w:rPr>
        <w:t>并</w:t>
      </w:r>
      <w:r>
        <w:rPr>
          <w:rFonts w:hint="eastAsia" w:ascii="仿宋_GB2312" w:hAnsi="仿宋_GB2312" w:eastAsia="仿宋_GB2312" w:cs="仿宋_GB2312"/>
          <w:szCs w:val="32"/>
          <w:highlight w:val="none"/>
          <w:u w:val="none"/>
        </w:rPr>
        <w:t>向</w:t>
      </w:r>
      <w:r>
        <w:rPr>
          <w:rFonts w:hint="eastAsia" w:ascii="仿宋_GB2312" w:hAnsi="仿宋_GB2312" w:eastAsia="仿宋_GB2312" w:cs="仿宋_GB2312"/>
          <w:szCs w:val="32"/>
          <w:highlight w:val="none"/>
          <w:u w:val="none"/>
          <w:lang w:val="en-US" w:eastAsia="zh-CN"/>
        </w:rPr>
        <w:t>独立第三方机构</w:t>
      </w:r>
      <w:r>
        <w:rPr>
          <w:rFonts w:hint="eastAsia" w:ascii="仿宋_GB2312" w:hAnsi="仿宋_GB2312" w:eastAsia="仿宋_GB2312" w:cs="仿宋_GB2312"/>
          <w:szCs w:val="32"/>
          <w:highlight w:val="none"/>
          <w:u w:val="none"/>
        </w:rPr>
        <w:t>提</w:t>
      </w:r>
      <w:r>
        <w:rPr>
          <w:rFonts w:hint="eastAsia" w:ascii="仿宋_GB2312" w:hAnsi="仿宋_GB2312" w:cs="仿宋_GB2312"/>
          <w:szCs w:val="32"/>
          <w:highlight w:val="none"/>
          <w:u w:val="none"/>
          <w:lang w:val="en-US" w:eastAsia="zh-CN"/>
        </w:rPr>
        <w:t>交</w:t>
      </w:r>
      <w:r>
        <w:rPr>
          <w:rFonts w:hint="eastAsia" w:ascii="仿宋_GB2312" w:hAnsi="仿宋_GB2312" w:eastAsia="仿宋_GB2312" w:cs="仿宋_GB2312"/>
          <w:szCs w:val="32"/>
          <w:highlight w:val="none"/>
          <w:u w:val="none"/>
        </w:rPr>
        <w:t>验收申请，并配合</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w:t>
      </w:r>
      <w:r>
        <w:rPr>
          <w:rFonts w:hint="eastAsia" w:ascii="仿宋_GB2312" w:hAnsi="仿宋_GB2312" w:eastAsia="仿宋_GB2312" w:cs="仿宋_GB2312"/>
          <w:szCs w:val="32"/>
          <w:highlight w:val="none"/>
          <w:u w:val="none"/>
          <w:lang w:val="en-US" w:eastAsia="zh-CN"/>
        </w:rPr>
        <w:t>审计、</w:t>
      </w:r>
      <w:r>
        <w:rPr>
          <w:rFonts w:hint="eastAsia" w:ascii="仿宋_GB2312" w:hAnsi="仿宋_GB2312" w:eastAsia="仿宋_GB2312" w:cs="仿宋_GB2312"/>
          <w:szCs w:val="32"/>
          <w:highlight w:val="none"/>
          <w:u w:val="none"/>
        </w:rPr>
        <w:t>监理咨询</w:t>
      </w:r>
      <w:r>
        <w:rPr>
          <w:rFonts w:hint="eastAsia" w:ascii="仿宋_GB2312" w:hAnsi="仿宋_GB2312" w:eastAsia="仿宋_GB2312" w:cs="仿宋_GB2312"/>
          <w:szCs w:val="32"/>
          <w:highlight w:val="none"/>
          <w:u w:val="none"/>
          <w:lang w:val="en-US" w:eastAsia="zh-CN"/>
        </w:rPr>
        <w:t>机构</w:t>
      </w:r>
      <w:r>
        <w:rPr>
          <w:rFonts w:hint="eastAsia" w:ascii="仿宋_GB2312" w:hAnsi="仿宋_GB2312" w:eastAsia="仿宋_GB2312" w:cs="仿宋_GB2312"/>
          <w:szCs w:val="32"/>
          <w:highlight w:val="none"/>
          <w:u w:val="none"/>
        </w:rPr>
        <w:t>做好项目审计、监督管理</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rPr>
        <w:t>检查等其他工作。</w:t>
      </w:r>
    </w:p>
    <w:p w14:paraId="46FBB056">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cs="仿宋_GB2312"/>
          <w:szCs w:val="32"/>
          <w:highlight w:val="none"/>
          <w:u w:val="none"/>
          <w:lang w:val="en-US" w:eastAsia="zh-CN"/>
        </w:rPr>
        <w:t>2.</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第三方监理咨询机构收到申请后，</w:t>
      </w:r>
      <w:r>
        <w:rPr>
          <w:rFonts w:hint="eastAsia" w:ascii="仿宋_GB2312" w:hAnsi="仿宋_GB2312" w:eastAsia="仿宋_GB2312" w:cs="仿宋_GB2312"/>
          <w:szCs w:val="32"/>
          <w:highlight w:val="none"/>
          <w:u w:val="none"/>
          <w:lang w:val="en-US" w:eastAsia="zh-CN"/>
        </w:rPr>
        <w:t>组织专家开展项目验收评审，</w:t>
      </w:r>
      <w:r>
        <w:rPr>
          <w:rFonts w:hint="eastAsia" w:ascii="仿宋_GB2312" w:hAnsi="仿宋_GB2312" w:eastAsia="仿宋_GB2312" w:cs="仿宋_GB2312"/>
          <w:szCs w:val="32"/>
          <w:highlight w:val="none"/>
          <w:u w:val="none"/>
        </w:rPr>
        <w:t>需实地调研项目建设完成情况，确认验收材料完善，确定项目等级</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形成项目验收报告</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第三方审计机构</w:t>
      </w:r>
      <w:r>
        <w:rPr>
          <w:rFonts w:hint="eastAsia" w:ascii="仿宋_GB2312" w:hAnsi="仿宋_GB2312" w:eastAsia="仿宋_GB2312" w:cs="仿宋_GB2312"/>
          <w:szCs w:val="32"/>
          <w:highlight w:val="none"/>
          <w:u w:val="none"/>
          <w:lang w:val="en-US" w:eastAsia="zh-CN"/>
        </w:rPr>
        <w:t>配合独立</w:t>
      </w:r>
      <w:r>
        <w:rPr>
          <w:rFonts w:hint="eastAsia" w:ascii="仿宋_GB2312" w:hAnsi="仿宋_GB2312" w:eastAsia="仿宋_GB2312" w:cs="仿宋_GB2312"/>
          <w:szCs w:val="32"/>
          <w:highlight w:val="none"/>
          <w:u w:val="none"/>
        </w:rPr>
        <w:t>第三方监理咨询机构</w:t>
      </w:r>
      <w:r>
        <w:rPr>
          <w:rFonts w:hint="eastAsia" w:ascii="仿宋_GB2312" w:hAnsi="仿宋_GB2312" w:eastAsia="仿宋_GB2312" w:cs="仿宋_GB2312"/>
          <w:szCs w:val="32"/>
          <w:highlight w:val="none"/>
          <w:u w:val="none"/>
          <w:lang w:val="en-US" w:eastAsia="zh-CN"/>
        </w:rPr>
        <w:t>开展项目审计相关工作</w:t>
      </w:r>
      <w:r>
        <w:rPr>
          <w:rFonts w:hint="eastAsia" w:ascii="仿宋_GB2312" w:hAnsi="仿宋_GB2312" w:cs="仿宋_GB2312"/>
          <w:szCs w:val="32"/>
          <w:highlight w:val="none"/>
          <w:u w:val="none"/>
          <w:lang w:val="en-US" w:eastAsia="zh-CN"/>
        </w:rPr>
        <w:t>，并出具财务审计报告</w:t>
      </w:r>
      <w:r>
        <w:rPr>
          <w:rFonts w:hint="eastAsia" w:ascii="仿宋_GB2312" w:hAnsi="仿宋_GB2312" w:eastAsia="仿宋_GB2312" w:cs="仿宋_GB2312"/>
          <w:szCs w:val="32"/>
          <w:highlight w:val="none"/>
          <w:u w:val="none"/>
        </w:rPr>
        <w:t>。通过验收的，</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第三方监理咨询机构需将项目验收报告</w:t>
      </w:r>
      <w:r>
        <w:rPr>
          <w:rFonts w:hint="eastAsia" w:ascii="仿宋_GB2312" w:hAnsi="仿宋_GB2312" w:eastAsia="仿宋_GB2312" w:cs="仿宋_GB2312"/>
          <w:szCs w:val="32"/>
          <w:highlight w:val="none"/>
          <w:u w:val="none"/>
          <w:lang w:val="en-US" w:eastAsia="zh-CN"/>
        </w:rPr>
        <w:t>及项目资金拨付意见书</w:t>
      </w:r>
      <w:r>
        <w:rPr>
          <w:rFonts w:hint="eastAsia" w:ascii="仿宋_GB2312" w:hAnsi="仿宋_GB2312" w:eastAsia="仿宋_GB2312" w:cs="仿宋_GB2312"/>
          <w:szCs w:val="32"/>
          <w:highlight w:val="none"/>
          <w:u w:val="none"/>
        </w:rPr>
        <w:t>上报至</w:t>
      </w:r>
      <w:r>
        <w:rPr>
          <w:rFonts w:hint="eastAsia" w:ascii="仿宋_GB2312" w:hAnsi="仿宋_GB2312" w:cs="仿宋_GB2312"/>
          <w:szCs w:val="32"/>
          <w:highlight w:val="none"/>
          <w:u w:val="none"/>
          <w:lang w:val="en-US" w:eastAsia="zh-CN"/>
        </w:rPr>
        <w:t>行业主管部门</w:t>
      </w:r>
      <w:r>
        <w:rPr>
          <w:rFonts w:hint="eastAsia" w:ascii="仿宋_GB2312" w:hAnsi="仿宋_GB2312" w:eastAsia="仿宋_GB2312" w:cs="仿宋_GB2312"/>
          <w:szCs w:val="32"/>
          <w:highlight w:val="none"/>
          <w:u w:val="none"/>
        </w:rPr>
        <w:t>。其中，再生资源回收方向相关项目需先提交至行业主管部门市城管局，市城管局确认后，再向市商务局提交书面确认材料。</w:t>
      </w:r>
    </w:p>
    <w:p w14:paraId="553F4BD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cs="仿宋_GB2312"/>
          <w:szCs w:val="32"/>
          <w:highlight w:val="none"/>
          <w:u w:val="none"/>
          <w:lang w:val="en-US" w:eastAsia="zh-CN"/>
        </w:rPr>
        <w:t>3.</w:t>
      </w:r>
      <w:r>
        <w:rPr>
          <w:rFonts w:hint="eastAsia" w:ascii="仿宋_GB2312" w:hAnsi="仿宋_GB2312" w:eastAsia="仿宋_GB2312" w:cs="仿宋_GB2312"/>
          <w:szCs w:val="32"/>
          <w:highlight w:val="none"/>
          <w:u w:val="none"/>
        </w:rPr>
        <w:t>行业主管部门收到</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第三方监理咨询</w:t>
      </w:r>
      <w:r>
        <w:rPr>
          <w:rFonts w:hint="eastAsia" w:ascii="仿宋_GB2312" w:hAnsi="仿宋_GB2312" w:eastAsia="仿宋_GB2312" w:cs="仿宋_GB2312"/>
          <w:szCs w:val="32"/>
          <w:highlight w:val="none"/>
          <w:u w:val="none"/>
          <w:lang w:val="en-US" w:eastAsia="zh-CN"/>
        </w:rPr>
        <w:t>机构上报的</w:t>
      </w:r>
      <w:r>
        <w:rPr>
          <w:rFonts w:hint="eastAsia" w:ascii="仿宋_GB2312" w:hAnsi="仿宋_GB2312" w:eastAsia="仿宋_GB2312" w:cs="仿宋_GB2312"/>
          <w:szCs w:val="32"/>
          <w:highlight w:val="none"/>
          <w:u w:val="none"/>
        </w:rPr>
        <w:t>项目验收报告</w:t>
      </w:r>
      <w:r>
        <w:rPr>
          <w:rFonts w:hint="eastAsia" w:ascii="仿宋_GB2312" w:hAnsi="仿宋_GB2312" w:eastAsia="仿宋_GB2312" w:cs="仿宋_GB2312"/>
          <w:szCs w:val="32"/>
          <w:highlight w:val="none"/>
          <w:u w:val="none"/>
          <w:lang w:val="en-US" w:eastAsia="zh-CN"/>
        </w:rPr>
        <w:t>及项目资金拨付意见书后，</w:t>
      </w:r>
      <w:bookmarkStart w:id="26" w:name="_Hlk210895976"/>
      <w:r>
        <w:rPr>
          <w:rFonts w:hint="eastAsia" w:ascii="仿宋_GB2312" w:hAnsi="仿宋_GB2312" w:eastAsia="仿宋_GB2312" w:cs="仿宋_GB2312"/>
          <w:sz w:val="32"/>
          <w:szCs w:val="32"/>
          <w:highlight w:val="none"/>
          <w:u w:val="none"/>
        </w:rPr>
        <w:t>报请</w:t>
      </w:r>
      <w:r>
        <w:rPr>
          <w:rFonts w:hint="eastAsia" w:ascii="仿宋_GB2312" w:hAnsi="仿宋_GB2312" w:eastAsia="仿宋_GB2312" w:cs="仿宋_GB2312"/>
          <w:szCs w:val="32"/>
          <w:highlight w:val="none"/>
          <w:u w:val="none"/>
        </w:rPr>
        <w:t>市商务局、市城管局（仅参加再生资源回收方向相关项目）党组会</w:t>
      </w:r>
      <w:r>
        <w:rPr>
          <w:rFonts w:hint="eastAsia" w:ascii="仿宋_GB2312" w:hAnsi="仿宋_GB2312" w:cs="仿宋_GB2312"/>
          <w:szCs w:val="32"/>
          <w:highlight w:val="none"/>
          <w:u w:val="none"/>
          <w:lang w:val="en-US" w:eastAsia="zh-CN"/>
        </w:rPr>
        <w:t>审议</w:t>
      </w:r>
      <w:r>
        <w:rPr>
          <w:rFonts w:hint="eastAsia" w:ascii="仿宋_GB2312" w:hAnsi="仿宋_GB2312" w:eastAsia="仿宋_GB2312" w:cs="仿宋_GB2312"/>
          <w:szCs w:val="32"/>
          <w:highlight w:val="none"/>
          <w:u w:val="none"/>
        </w:rPr>
        <w:t>，由市商务局汇总拨付意见后提交至市财政局。未经行业主管单位书面确认的资金拨付意见无效。</w:t>
      </w:r>
      <w:bookmarkEnd w:id="26"/>
    </w:p>
    <w:p w14:paraId="0D20FF66">
      <w:pPr>
        <w:pStyle w:val="8"/>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第二十</w:t>
      </w:r>
      <w:r>
        <w:rPr>
          <w:rFonts w:hint="eastAsia" w:ascii="仿宋_GB2312" w:hAnsi="仿宋_GB2312" w:eastAsia="仿宋_GB2312" w:cs="仿宋_GB2312"/>
          <w:b/>
          <w:bCs/>
          <w:szCs w:val="32"/>
          <w:highlight w:val="none"/>
          <w:u w:val="none"/>
          <w:lang w:val="en-US" w:eastAsia="zh-CN"/>
        </w:rPr>
        <w:t>四</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项目验收报告包含但不限于项目基本情况、项目目标完成情况、项目实施成效、资产管理情况、项目管理情况、项目问题、整改结果等内容。</w:t>
      </w:r>
      <w:r>
        <w:rPr>
          <w:rFonts w:hint="eastAsia" w:ascii="仿宋_GB2312" w:hAnsi="仿宋_GB2312" w:cs="仿宋_GB2312"/>
          <w:szCs w:val="32"/>
          <w:highlight w:val="none"/>
          <w:u w:val="none"/>
          <w:lang w:val="en-US" w:eastAsia="zh-CN"/>
        </w:rPr>
        <w:t>项目</w:t>
      </w:r>
      <w:r>
        <w:rPr>
          <w:rFonts w:hint="eastAsia" w:ascii="仿宋_GB2312" w:hAnsi="仿宋_GB2312" w:eastAsia="仿宋_GB2312" w:cs="仿宋_GB2312"/>
          <w:szCs w:val="32"/>
          <w:highlight w:val="none"/>
          <w:u w:val="none"/>
        </w:rPr>
        <w:t>资金拨付意见</w:t>
      </w:r>
      <w:r>
        <w:rPr>
          <w:rFonts w:hint="eastAsia" w:ascii="仿宋_GB2312" w:hAnsi="仿宋_GB2312" w:cs="仿宋_GB2312"/>
          <w:szCs w:val="32"/>
          <w:highlight w:val="none"/>
          <w:u w:val="none"/>
          <w:lang w:val="en-US" w:eastAsia="zh-CN"/>
        </w:rPr>
        <w:t>书</w:t>
      </w:r>
      <w:r>
        <w:rPr>
          <w:rFonts w:hint="eastAsia" w:ascii="仿宋_GB2312" w:hAnsi="仿宋_GB2312" w:eastAsia="仿宋_GB2312" w:cs="仿宋_GB2312"/>
          <w:szCs w:val="32"/>
          <w:highlight w:val="none"/>
          <w:u w:val="none"/>
        </w:rPr>
        <w:t>包含但不限于中央</w:t>
      </w:r>
      <w:r>
        <w:rPr>
          <w:rFonts w:hint="eastAsia" w:ascii="仿宋_GB2312" w:hAnsi="仿宋_GB2312" w:cs="仿宋_GB2312"/>
          <w:szCs w:val="32"/>
          <w:highlight w:val="none"/>
          <w:u w:val="none"/>
          <w:lang w:val="en-US" w:eastAsia="zh-CN"/>
        </w:rPr>
        <w:t>专项</w:t>
      </w:r>
      <w:r>
        <w:rPr>
          <w:rFonts w:hint="eastAsia" w:ascii="仿宋_GB2312" w:hAnsi="仿宋_GB2312" w:eastAsia="仿宋_GB2312" w:cs="仿宋_GB2312"/>
          <w:szCs w:val="32"/>
          <w:highlight w:val="none"/>
          <w:u w:val="none"/>
        </w:rPr>
        <w:t>资金支持方式及金额等内容。</w:t>
      </w:r>
    </w:p>
    <w:p w14:paraId="7F150616">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第二十</w:t>
      </w:r>
      <w:r>
        <w:rPr>
          <w:rFonts w:hint="eastAsia" w:ascii="仿宋_GB2312" w:hAnsi="仿宋_GB2312" w:eastAsia="仿宋_GB2312" w:cs="仿宋_GB2312"/>
          <w:b/>
          <w:bCs/>
          <w:szCs w:val="32"/>
          <w:highlight w:val="none"/>
          <w:u w:val="none"/>
          <w:lang w:val="en-US" w:eastAsia="zh-CN"/>
        </w:rPr>
        <w:t>五</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w:t>
      </w:r>
      <w:bookmarkStart w:id="27" w:name="_Hlk200366687"/>
      <w:r>
        <w:rPr>
          <w:rFonts w:hint="eastAsia" w:ascii="仿宋_GB2312" w:hAnsi="仿宋_GB2312" w:eastAsia="仿宋_GB2312" w:cs="仿宋_GB2312"/>
          <w:szCs w:val="32"/>
          <w:highlight w:val="none"/>
          <w:u w:val="none"/>
        </w:rPr>
        <w:t>市商务局</w:t>
      </w:r>
      <w:bookmarkEnd w:id="27"/>
      <w:r>
        <w:rPr>
          <w:rFonts w:hint="eastAsia" w:ascii="仿宋_GB2312" w:hAnsi="仿宋_GB2312" w:eastAsia="仿宋_GB2312" w:cs="仿宋_GB2312"/>
          <w:szCs w:val="32"/>
          <w:highlight w:val="none"/>
          <w:u w:val="none"/>
        </w:rPr>
        <w:t>牵头于试点启动第二年初，按照省级部门安排，开展项目中期验收及绩效自评工作</w:t>
      </w:r>
      <w:bookmarkStart w:id="28" w:name="_Hlk200366676"/>
      <w:r>
        <w:rPr>
          <w:rFonts w:hint="eastAsia" w:ascii="仿宋_GB2312" w:hAnsi="仿宋_GB2312" w:eastAsia="仿宋_GB2312" w:cs="仿宋_GB2312"/>
          <w:szCs w:val="32"/>
          <w:highlight w:val="none"/>
          <w:u w:val="none"/>
        </w:rPr>
        <w:t>。现代商贸流通体系试点城市建设项目实施期结束后，向吉林省商务厅、财政厅提交现代商贸流通体系试点城市整体项目验收请示，按照省级部门要求开展项目验收并进行整体项目绩效自评。</w:t>
      </w:r>
      <w:bookmarkEnd w:id="28"/>
    </w:p>
    <w:p w14:paraId="45879BE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Cs w:val="32"/>
          <w:highlight w:val="none"/>
          <w:u w:val="none"/>
        </w:rPr>
      </w:pPr>
      <w:r>
        <w:rPr>
          <w:rFonts w:hint="eastAsia" w:ascii="黑体" w:hAnsi="黑体" w:eastAsia="黑体" w:cs="黑体"/>
          <w:szCs w:val="32"/>
          <w:highlight w:val="none"/>
          <w:u w:val="none"/>
        </w:rPr>
        <w:t>第六章  附 则</w:t>
      </w:r>
    </w:p>
    <w:p w14:paraId="77ED5A2C">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第二十</w:t>
      </w:r>
      <w:r>
        <w:rPr>
          <w:rFonts w:hint="eastAsia" w:ascii="仿宋_GB2312" w:hAnsi="仿宋_GB2312" w:eastAsia="仿宋_GB2312" w:cs="仿宋_GB2312"/>
          <w:b/>
          <w:bCs/>
          <w:szCs w:val="32"/>
          <w:highlight w:val="none"/>
          <w:u w:val="none"/>
          <w:lang w:val="en-US" w:eastAsia="zh-CN"/>
        </w:rPr>
        <w:t>六</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未按照本办法执行导致现代商贸流通体系试点城市建设项目出现进度滞后等一般问题的企业，责令整改并进行通报。</w:t>
      </w:r>
    </w:p>
    <w:p w14:paraId="290F1505">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szCs w:val="32"/>
          <w:highlight w:val="none"/>
          <w:u w:val="none"/>
        </w:rPr>
        <w:t>第二十</w:t>
      </w:r>
      <w:r>
        <w:rPr>
          <w:rFonts w:hint="eastAsia" w:ascii="仿宋_GB2312" w:hAnsi="仿宋_GB2312" w:eastAsia="仿宋_GB2312" w:cs="仿宋_GB2312"/>
          <w:b/>
          <w:bCs/>
          <w:szCs w:val="32"/>
          <w:highlight w:val="none"/>
          <w:u w:val="none"/>
          <w:lang w:val="en-US" w:eastAsia="zh-CN"/>
        </w:rPr>
        <w:t>七</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项目单位有下列行为之一的，将项目单位纳入严重失信名单（黑名单）实施联合惩戒，相关信息通报市发改委等单位，</w:t>
      </w:r>
      <w:r>
        <w:rPr>
          <w:rFonts w:hint="eastAsia" w:ascii="仿宋_GB2312" w:hAnsi="仿宋_GB2312" w:eastAsia="仿宋_GB2312" w:cs="仿宋_GB2312"/>
          <w:szCs w:val="32"/>
          <w:highlight w:val="none"/>
          <w:u w:val="none"/>
          <w:lang w:val="en-US" w:eastAsia="zh-CN"/>
        </w:rPr>
        <w:t>并</w:t>
      </w:r>
      <w:r>
        <w:rPr>
          <w:rFonts w:hint="eastAsia" w:ascii="仿宋_GB2312" w:hAnsi="仿宋_GB2312" w:eastAsia="仿宋_GB2312" w:cs="仿宋_GB2312"/>
          <w:szCs w:val="32"/>
          <w:highlight w:val="none"/>
          <w:u w:val="none"/>
        </w:rPr>
        <w:t>建议在“信用中国（吉林）”网站公开，并根据情节轻重提请或者移交有关机关依法追究</w:t>
      </w:r>
      <w:r>
        <w:rPr>
          <w:rFonts w:hint="eastAsia" w:ascii="仿宋_GB2312" w:hAnsi="仿宋_GB2312" w:eastAsia="仿宋_GB2312" w:cs="仿宋_GB2312"/>
          <w:szCs w:val="32"/>
          <w:highlight w:val="none"/>
          <w:u w:val="none"/>
          <w:lang w:val="en-US" w:eastAsia="zh-CN"/>
        </w:rPr>
        <w:t>相关</w:t>
      </w:r>
      <w:r>
        <w:rPr>
          <w:rFonts w:hint="eastAsia" w:ascii="仿宋_GB2312" w:hAnsi="仿宋_GB2312" w:eastAsia="仿宋_GB2312" w:cs="仿宋_GB2312"/>
          <w:szCs w:val="32"/>
          <w:highlight w:val="none"/>
          <w:u w:val="none"/>
        </w:rPr>
        <w:t>责任人的行政或者法律责任</w:t>
      </w:r>
      <w:r>
        <w:rPr>
          <w:rFonts w:hint="eastAsia" w:ascii="仿宋_GB2312" w:hAnsi="仿宋_GB2312" w:cs="仿宋_GB2312"/>
          <w:szCs w:val="32"/>
          <w:highlight w:val="none"/>
          <w:u w:val="none"/>
          <w:lang w:eastAsia="zh-CN"/>
        </w:rPr>
        <w:t>；</w:t>
      </w:r>
      <w:r>
        <w:rPr>
          <w:rFonts w:hint="eastAsia" w:ascii="仿宋_GB2312" w:hAnsi="仿宋_GB2312" w:cs="仿宋_GB2312"/>
          <w:szCs w:val="32"/>
          <w:highlight w:val="none"/>
          <w:u w:val="none"/>
          <w:lang w:val="en-US" w:eastAsia="zh-CN"/>
        </w:rPr>
        <w:t>若该行为涉嫌违反</w:t>
      </w:r>
      <w:r>
        <w:rPr>
          <w:rFonts w:hint="eastAsia" w:ascii="仿宋_GB2312" w:hAnsi="仿宋_GB2312" w:eastAsia="仿宋_GB2312" w:cs="仿宋_GB2312"/>
          <w:kern w:val="2"/>
          <w:sz w:val="32"/>
          <w:szCs w:val="32"/>
          <w:highlight w:val="none"/>
          <w:u w:val="none"/>
          <w:lang w:val="en-US" w:eastAsia="zh-CN" w:bidi="ar-SA"/>
        </w:rPr>
        <w:t>《市场监督管理严重违法失信名单管理办法》相关规定，</w:t>
      </w:r>
      <w:r>
        <w:rPr>
          <w:rFonts w:hint="eastAsia" w:ascii="仿宋_GB2312" w:hAnsi="仿宋_GB2312" w:cs="仿宋_GB2312"/>
          <w:kern w:val="2"/>
          <w:sz w:val="32"/>
          <w:szCs w:val="32"/>
          <w:highlight w:val="none"/>
          <w:u w:val="none"/>
          <w:lang w:val="en-US" w:eastAsia="zh-CN" w:bidi="ar-SA"/>
        </w:rPr>
        <w:t>由市场监管部门</w:t>
      </w:r>
      <w:r>
        <w:rPr>
          <w:rFonts w:hint="eastAsia" w:ascii="仿宋_GB2312" w:hAnsi="仿宋_GB2312" w:eastAsia="仿宋_GB2312" w:cs="仿宋_GB2312"/>
          <w:kern w:val="2"/>
          <w:sz w:val="32"/>
          <w:szCs w:val="32"/>
          <w:highlight w:val="none"/>
          <w:u w:val="none"/>
          <w:lang w:val="en-US" w:eastAsia="zh-CN" w:bidi="ar-SA"/>
        </w:rPr>
        <w:t>查处后列入严重违法失信名单，同时将列严信息通过</w:t>
      </w:r>
      <w:r>
        <w:rPr>
          <w:rFonts w:hint="eastAsia" w:ascii="仿宋_GB2312" w:hAnsi="仿宋_GB2312" w:cs="仿宋_GB2312"/>
          <w:kern w:val="2"/>
          <w:sz w:val="32"/>
          <w:szCs w:val="32"/>
          <w:highlight w:val="none"/>
          <w:u w:val="none"/>
          <w:lang w:val="en-US" w:eastAsia="zh-CN" w:bidi="ar-SA"/>
        </w:rPr>
        <w:t>“</w:t>
      </w:r>
      <w:r>
        <w:rPr>
          <w:rFonts w:hint="eastAsia" w:ascii="仿宋_GB2312" w:hAnsi="仿宋_GB2312" w:eastAsia="仿宋_GB2312" w:cs="仿宋_GB2312"/>
          <w:kern w:val="2"/>
          <w:sz w:val="32"/>
          <w:szCs w:val="32"/>
          <w:highlight w:val="none"/>
          <w:u w:val="none"/>
          <w:lang w:val="en-US" w:eastAsia="zh-CN" w:bidi="ar-SA"/>
        </w:rPr>
        <w:t>国家企业信用信息公示系统</w:t>
      </w:r>
      <w:r>
        <w:rPr>
          <w:rFonts w:hint="eastAsia" w:ascii="仿宋_GB2312" w:hAnsi="仿宋_GB2312" w:cs="仿宋_GB2312"/>
          <w:kern w:val="2"/>
          <w:sz w:val="32"/>
          <w:szCs w:val="32"/>
          <w:highlight w:val="none"/>
          <w:u w:val="none"/>
          <w:lang w:val="en-US" w:eastAsia="zh-CN" w:bidi="ar-SA"/>
        </w:rPr>
        <w:t>”</w:t>
      </w:r>
      <w:r>
        <w:rPr>
          <w:rFonts w:hint="eastAsia" w:ascii="仿宋_GB2312" w:hAnsi="仿宋_GB2312" w:eastAsia="仿宋_GB2312" w:cs="仿宋_GB2312"/>
          <w:kern w:val="2"/>
          <w:sz w:val="32"/>
          <w:szCs w:val="32"/>
          <w:highlight w:val="none"/>
          <w:u w:val="none"/>
          <w:lang w:val="en-US" w:eastAsia="zh-CN" w:bidi="ar-SA"/>
        </w:rPr>
        <w:t>向社会公示并共享至各相关单位。</w:t>
      </w:r>
    </w:p>
    <w:p w14:paraId="5FC6E4BF">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（一）提供虚假情况，骗取中央</w:t>
      </w:r>
      <w:r>
        <w:rPr>
          <w:rFonts w:hint="eastAsia" w:ascii="仿宋_GB2312" w:hAnsi="仿宋_GB2312" w:eastAsia="仿宋_GB2312" w:cs="仿宋_GB2312"/>
          <w:szCs w:val="32"/>
          <w:highlight w:val="none"/>
          <w:u w:val="none"/>
          <w:lang w:val="en-US" w:eastAsia="zh-CN"/>
        </w:rPr>
        <w:t>专项资金</w:t>
      </w:r>
      <w:r>
        <w:rPr>
          <w:rFonts w:hint="eastAsia" w:ascii="仿宋_GB2312" w:hAnsi="仿宋_GB2312" w:eastAsia="仿宋_GB2312" w:cs="仿宋_GB2312"/>
          <w:szCs w:val="32"/>
          <w:highlight w:val="none"/>
          <w:u w:val="none"/>
        </w:rPr>
        <w:t>的；</w:t>
      </w:r>
    </w:p>
    <w:p w14:paraId="115D9F24">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（二）转移、侵占或者挪用中央</w:t>
      </w:r>
      <w:r>
        <w:rPr>
          <w:rFonts w:hint="eastAsia" w:ascii="仿宋_GB2312" w:hAnsi="仿宋_GB2312" w:eastAsia="仿宋_GB2312" w:cs="仿宋_GB2312"/>
          <w:szCs w:val="32"/>
          <w:highlight w:val="none"/>
          <w:u w:val="none"/>
          <w:lang w:val="en-US" w:eastAsia="zh-CN"/>
        </w:rPr>
        <w:t>专项资金</w:t>
      </w:r>
      <w:r>
        <w:rPr>
          <w:rFonts w:hint="eastAsia" w:ascii="仿宋_GB2312" w:hAnsi="仿宋_GB2312" w:eastAsia="仿宋_GB2312" w:cs="仿宋_GB2312"/>
          <w:szCs w:val="32"/>
          <w:highlight w:val="none"/>
          <w:u w:val="none"/>
        </w:rPr>
        <w:t>的；</w:t>
      </w:r>
    </w:p>
    <w:p w14:paraId="2D28A2C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（三）其他违反国家法律法规相关规定的。</w:t>
      </w:r>
    </w:p>
    <w:p w14:paraId="11E13320">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w:t>
      </w:r>
      <w:r>
        <w:rPr>
          <w:rFonts w:hint="eastAsia" w:ascii="仿宋_GB2312" w:hAnsi="仿宋_GB2312" w:eastAsia="仿宋_GB2312" w:cs="仿宋_GB2312"/>
          <w:b/>
          <w:bCs/>
          <w:spacing w:val="0"/>
          <w:szCs w:val="32"/>
          <w:highlight w:val="none"/>
          <w:u w:val="none"/>
        </w:rPr>
        <w:t>二十</w:t>
      </w:r>
      <w:r>
        <w:rPr>
          <w:rFonts w:hint="eastAsia" w:ascii="仿宋_GB2312" w:hAnsi="仿宋_GB2312" w:eastAsia="仿宋_GB2312" w:cs="仿宋_GB2312"/>
          <w:b/>
          <w:bCs/>
          <w:spacing w:val="0"/>
          <w:szCs w:val="32"/>
          <w:highlight w:val="none"/>
          <w:u w:val="none"/>
          <w:lang w:val="en-US" w:eastAsia="zh-CN"/>
        </w:rPr>
        <w:t>八</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w:t>
      </w:r>
      <w:bookmarkStart w:id="29" w:name="_Hlk200366776"/>
      <w:r>
        <w:rPr>
          <w:rFonts w:hint="eastAsia" w:ascii="仿宋_GB2312" w:hAnsi="仿宋_GB2312" w:eastAsia="仿宋_GB2312" w:cs="仿宋_GB2312"/>
          <w:szCs w:val="32"/>
          <w:highlight w:val="none"/>
          <w:u w:val="none"/>
        </w:rPr>
        <w:t>国家、吉林省主管部门制定的专项工作方案或管理办法中，对本办法涉及的中央预算内投资项目管理另有规定的，从其规定</w:t>
      </w:r>
      <w:bookmarkEnd w:id="29"/>
      <w:r>
        <w:rPr>
          <w:rFonts w:hint="eastAsia" w:ascii="仿宋_GB2312" w:hAnsi="仿宋_GB2312" w:eastAsia="仿宋_GB2312" w:cs="仿宋_GB2312"/>
          <w:szCs w:val="32"/>
          <w:highlight w:val="none"/>
          <w:u w:val="none"/>
        </w:rPr>
        <w:t>。</w:t>
      </w:r>
    </w:p>
    <w:p w14:paraId="2F90AEFA">
      <w:pPr>
        <w:keepNext w:val="0"/>
        <w:keepLines w:val="0"/>
        <w:pageBreakBefore w:val="0"/>
        <w:widowControl w:val="0"/>
        <w:kinsoku/>
        <w:wordWrap/>
        <w:overflowPunct/>
        <w:topLinePunct w:val="0"/>
        <w:autoSpaceDE/>
        <w:autoSpaceDN/>
        <w:bidi w:val="0"/>
        <w:adjustRightInd/>
        <w:snapToGrid/>
        <w:spacing w:line="560" w:lineRule="exact"/>
        <w:ind w:firstLine="667"/>
        <w:textAlignment w:val="auto"/>
        <w:rPr>
          <w:rFonts w:hint="eastAsia" w:ascii="仿宋_GB2312" w:hAnsi="仿宋_GB2312" w:eastAsia="仿宋_GB2312" w:cs="仿宋_GB2312"/>
          <w:spacing w:val="6"/>
          <w:szCs w:val="32"/>
          <w:highlight w:val="none"/>
          <w:u w:val="none"/>
        </w:rPr>
      </w:pPr>
      <w:r>
        <w:rPr>
          <w:rFonts w:hint="eastAsia" w:ascii="仿宋_GB2312" w:hAnsi="仿宋_GB2312" w:eastAsia="仿宋_GB2312" w:cs="仿宋_GB2312"/>
          <w:b/>
          <w:bCs/>
          <w:spacing w:val="0"/>
          <w:szCs w:val="32"/>
          <w:highlight w:val="none"/>
          <w:u w:val="none"/>
        </w:rPr>
        <w:t>第二十</w:t>
      </w:r>
      <w:r>
        <w:rPr>
          <w:rFonts w:hint="eastAsia" w:ascii="仿宋_GB2312" w:hAnsi="仿宋_GB2312" w:eastAsia="仿宋_GB2312" w:cs="仿宋_GB2312"/>
          <w:b/>
          <w:bCs/>
          <w:spacing w:val="0"/>
          <w:szCs w:val="32"/>
          <w:highlight w:val="none"/>
          <w:u w:val="none"/>
          <w:lang w:val="en-US" w:eastAsia="zh-CN"/>
        </w:rPr>
        <w:t>九</w:t>
      </w:r>
      <w:r>
        <w:rPr>
          <w:rFonts w:hint="eastAsia" w:ascii="仿宋_GB2312" w:hAnsi="仿宋_GB2312" w:eastAsia="仿宋_GB2312" w:cs="仿宋_GB2312"/>
          <w:b/>
          <w:bCs/>
          <w:spacing w:val="0"/>
          <w:szCs w:val="32"/>
          <w:highlight w:val="none"/>
          <w:u w:val="none"/>
        </w:rPr>
        <w:t>条</w:t>
      </w:r>
      <w:r>
        <w:rPr>
          <w:rFonts w:hint="eastAsia" w:ascii="仿宋_GB2312" w:hAnsi="仿宋_GB2312" w:eastAsia="仿宋_GB2312" w:cs="仿宋_GB2312"/>
          <w:spacing w:val="6"/>
          <w:szCs w:val="32"/>
          <w:highlight w:val="none"/>
          <w:u w:val="none"/>
        </w:rPr>
        <w:t xml:space="preserve"> 本办法自印发之日起生效，执行期限至</w:t>
      </w:r>
      <w:r>
        <w:rPr>
          <w:rFonts w:hint="eastAsia" w:ascii="仿宋_GB2312" w:hAnsi="仿宋_GB2312" w:cs="仿宋_GB2312"/>
          <w:spacing w:val="6"/>
          <w:szCs w:val="32"/>
          <w:highlight w:val="none"/>
          <w:u w:val="none"/>
          <w:lang w:val="en-US" w:eastAsia="zh-CN"/>
        </w:rPr>
        <w:t>长春市现代商贸流通体系试点城市建设工作完成。</w:t>
      </w:r>
      <w:r>
        <w:rPr>
          <w:rFonts w:hint="eastAsia" w:ascii="仿宋_GB2312" w:hAnsi="仿宋_GB2312" w:cs="仿宋_GB2312"/>
          <w:color w:val="1F2329"/>
          <w:szCs w:val="32"/>
          <w:highlight w:val="none"/>
          <w:u w:val="none"/>
        </w:rPr>
        <w:t>本办法由市商务局负责解释。</w:t>
      </w:r>
    </w:p>
    <w:p w14:paraId="7AD0915C">
      <w:pPr>
        <w:pStyle w:val="2"/>
        <w:ind w:firstLine="0" w:firstLineChars="0"/>
        <w:rPr>
          <w:rFonts w:hint="eastAsia" w:ascii="仿宋_GB2312" w:hAnsi="仿宋_GB2312" w:eastAsia="仿宋_GB2312" w:cs="仿宋_GB2312"/>
          <w:sz w:val="32"/>
          <w:szCs w:val="32"/>
          <w:highlight w:val="none"/>
          <w:u w:val="none"/>
        </w:rPr>
      </w:pPr>
    </w:p>
    <w:p w14:paraId="6F9955F1">
      <w:pPr>
        <w:rPr>
          <w:highlight w:val="none"/>
          <w:u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2154" w:right="1474" w:bottom="1984" w:left="1531" w:header="851" w:footer="1134" w:gutter="0"/>
      <w:pgNumType w:start="1"/>
      <w:cols w:space="72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6E1400-DD07-4CAA-8F62-7AF9C5E882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EF1FFED-5BF1-4E05-9A95-E7214D194D6C}"/>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E295112E-882F-4D38-A54F-3B4DC54B3FD9}"/>
  </w:font>
  <w:font w:name="楷体">
    <w:panose1 w:val="02010609060101010101"/>
    <w:charset w:val="86"/>
    <w:family w:val="modern"/>
    <w:pitch w:val="default"/>
    <w:sig w:usb0="800002BF" w:usb1="38CF7CFA" w:usb2="00000016" w:usb3="00000000" w:csb0="00040001" w:csb1="00000000"/>
    <w:embedRegular r:id="rId4" w:fontKey="{ABE6FA6D-D6FE-4BA7-A85E-8C3FF3B004FC}"/>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AC24F">
    <w:pPr>
      <w:pStyle w:val="6"/>
      <w:ind w:firstLine="360"/>
      <w:jc w:val="right"/>
      <w:rPr>
        <w:rFonts w:ascii="Times New Roman" w:hAnsi="Times New Roman"/>
        <w:sz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66825" cy="361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66825" cy="361950"/>
                      </a:xfrm>
                      <a:prstGeom prst="rect">
                        <a:avLst/>
                      </a:prstGeom>
                      <a:noFill/>
                      <a:ln w="6350">
                        <a:noFill/>
                      </a:ln>
                    </wps:spPr>
                    <wps:txbx>
                      <w:txbxContent>
                        <w:p w14:paraId="22D2B1BA">
                          <w:pPr>
                            <w:pStyle w:val="6"/>
                            <w:ind w:firstLine="0" w:firstLineChars="0"/>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lIns="0" tIns="0" rIns="0" bIns="0" upright="1">
                      <a:spAutoFit/>
                    </wps:bodyPr>
                  </wps:wsp>
                </a:graphicData>
              </a:graphic>
            </wp:anchor>
          </w:drawing>
        </mc:Choice>
        <mc:Fallback>
          <w:pict>
            <v:shape id="_x0000_s1026" o:spid="_x0000_s1026" o:spt="202" type="#_x0000_t202" style="position:absolute;left:0pt;margin-top:0pt;height:28.5pt;width:99.75pt;mso-position-horizontal:center;mso-position-horizontal-relative:margin;z-index:251659264;mso-width-relative:page;mso-height-relative:page;" filled="f" stroked="f" coordsize="21600,21600" o:gfxdata="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elP0K1AAAAAQBAAAPAAAAAAAAAAEAIAAAACIAAABkcnMv&#10;ZG93bnJldi54bWxQSwECFAAUAAAACACHTuJAoBq16s4BAACVAwAADgAAAAAAAAABACAAAAAjAQAA&#10;ZHJzL2Uyb0RvYy54bWxQSwUGAAAAAAYABgBZAQAAYwUAAAAA&#10;">
              <v:fill on="f" focussize="0,0"/>
              <v:stroke on="f" weight="0.5pt"/>
              <v:imagedata o:title=""/>
              <o:lock v:ext="edit" aspectratio="f"/>
              <v:textbox inset="0mm,0mm,0mm,0mm" style="mso-fit-shape-to-text:t;">
                <w:txbxContent>
                  <w:p w14:paraId="22D2B1BA">
                    <w:pPr>
                      <w:pStyle w:val="6"/>
                      <w:ind w:firstLine="0" w:firstLineChars="0"/>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7F74">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D73F7">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8D0F1">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15D53">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B17AC">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06D05"/>
    <w:rsid w:val="00F71B4B"/>
    <w:rsid w:val="02D91DBA"/>
    <w:rsid w:val="0AFB2620"/>
    <w:rsid w:val="0B300C6A"/>
    <w:rsid w:val="0CF02C38"/>
    <w:rsid w:val="0D3C0E88"/>
    <w:rsid w:val="0D477A5D"/>
    <w:rsid w:val="0FEF5BDD"/>
    <w:rsid w:val="10DE578E"/>
    <w:rsid w:val="11CE3FD3"/>
    <w:rsid w:val="120B19E1"/>
    <w:rsid w:val="14B41E18"/>
    <w:rsid w:val="14C46455"/>
    <w:rsid w:val="1E345B9A"/>
    <w:rsid w:val="1E800EBA"/>
    <w:rsid w:val="1F8B39D5"/>
    <w:rsid w:val="23E634F2"/>
    <w:rsid w:val="29175EC6"/>
    <w:rsid w:val="2A097EE3"/>
    <w:rsid w:val="2ACC6008"/>
    <w:rsid w:val="2C843201"/>
    <w:rsid w:val="31BE78AB"/>
    <w:rsid w:val="36691579"/>
    <w:rsid w:val="36DA728E"/>
    <w:rsid w:val="371B2276"/>
    <w:rsid w:val="37CF1BCD"/>
    <w:rsid w:val="38FF512D"/>
    <w:rsid w:val="3C5C2A6E"/>
    <w:rsid w:val="416751FF"/>
    <w:rsid w:val="41767726"/>
    <w:rsid w:val="44386582"/>
    <w:rsid w:val="49B84D0E"/>
    <w:rsid w:val="4CF17B79"/>
    <w:rsid w:val="4D123D00"/>
    <w:rsid w:val="4DBD1B0B"/>
    <w:rsid w:val="5D9D72A2"/>
    <w:rsid w:val="5E366026"/>
    <w:rsid w:val="60471EBB"/>
    <w:rsid w:val="61502C69"/>
    <w:rsid w:val="64976216"/>
    <w:rsid w:val="68B06D05"/>
    <w:rsid w:val="68E071C4"/>
    <w:rsid w:val="6AC27881"/>
    <w:rsid w:val="6D637130"/>
    <w:rsid w:val="6DF244FF"/>
    <w:rsid w:val="702F681D"/>
    <w:rsid w:val="70EB6443"/>
    <w:rsid w:val="77086156"/>
    <w:rsid w:val="792B7DEB"/>
    <w:rsid w:val="7A33579E"/>
    <w:rsid w:val="7B292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240" w:lineRule="auto"/>
    </w:pPr>
    <w:rPr>
      <w:rFonts w:eastAsia="宋体"/>
      <w:sz w:val="21"/>
    </w:rPr>
  </w:style>
  <w:style w:type="paragraph" w:styleId="3">
    <w:name w:val="annotation text"/>
    <w:basedOn w:val="1"/>
    <w:qFormat/>
    <w:uiPriority w:val="0"/>
    <w:pPr>
      <w:jc w:val="left"/>
    </w:pPr>
  </w:style>
  <w:style w:type="paragraph" w:styleId="4">
    <w:name w:val="Body Text"/>
    <w:basedOn w:val="1"/>
    <w:next w:val="1"/>
    <w:qFormat/>
    <w:uiPriority w:val="0"/>
    <w:pPr>
      <w:spacing w:after="120" w:line="570" w:lineRule="exact"/>
    </w:pPr>
    <w:rPr>
      <w:rFonts w:eastAsia="方正仿宋_GBK"/>
    </w:rPr>
  </w:style>
  <w:style w:type="paragraph" w:styleId="5">
    <w:name w:val="Body Text Indent"/>
    <w:basedOn w:val="1"/>
    <w:next w:val="1"/>
    <w:qFormat/>
    <w:uiPriority w:val="0"/>
    <w:pPr>
      <w:spacing w:after="120"/>
      <w:ind w:left="200" w:leftChars="200"/>
    </w:pPr>
  </w:style>
  <w:style w:type="paragraph" w:styleId="6">
    <w:name w:val="footer"/>
    <w:qFormat/>
    <w:uiPriority w:val="0"/>
    <w:pPr>
      <w:widowControl w:val="0"/>
      <w:tabs>
        <w:tab w:val="center" w:pos="4153"/>
        <w:tab w:val="right" w:pos="8306"/>
      </w:tabs>
      <w:snapToGrid w:val="0"/>
      <w:spacing w:line="570" w:lineRule="exact"/>
      <w:ind w:firstLine="200" w:firstLineChars="200"/>
    </w:pPr>
    <w:rPr>
      <w:rFonts w:ascii="Calibri" w:hAnsi="Calibri" w:eastAsia="方正仿宋_GBK" w:cs="Times New Roman"/>
      <w:kern w:val="2"/>
      <w:sz w:val="18"/>
      <w:szCs w:val="24"/>
      <w:lang w:val="en-US" w:eastAsia="zh-CN" w:bidi="ar-SA"/>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First Indent 2"/>
    <w:basedOn w:val="5"/>
    <w:next w:val="9"/>
    <w:qFormat/>
    <w:uiPriority w:val="0"/>
    <w:pPr>
      <w:ind w:left="0" w:leftChars="0"/>
    </w:pPr>
    <w:rPr>
      <w:rFonts w:ascii="仿宋" w:hAnsi="仿宋"/>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df18238f-a303-410a-9d5e-9af9cec4606d</errorID>
      <errorWord>和</errorWord>
      <group>L1_Grammar</group>
      <groupName>语法问题</groupName>
      <ability>L2_Illogical</ability>
      <abilityName>不合逻辑</abilityName>
      <candidateList>
        <item>食品和</item>
      </candidateList>
      <explain>句子中可能存在因果关系错误、自相矛盾、概念误用、主客倒置、否定不当、前后缺乏呼应等问题。</explain>
      <paraID>3E1BD2E0</paraID>
      <start>159</start>
      <end>160</end>
      <status>unmodified</status>
      <modifiedWord/>
      <trackRevisions>false</trackRevisions>
    </reviewItem>
    <reviewItem>
      <errorID>92f0db11-2ee5-429d-8089-3ad19151ab7a</errorID>
      <errorWord>分级</errorWord>
      <group>L1_Word</group>
      <groupName>字词问题</groupName>
      <ability>L2_Typo</ability>
      <abilityName>字词错误</abilityName>
      <candidateList>
        <item>分库</item>
      </candidateList>
      <explain/>
      <paraID>3AAADFC5</paraID>
      <start>106</start>
      <end>108</end>
      <status>unmodified</status>
      <modifiedWord/>
      <trackRevisions>false</trackRevisions>
    </reviewItem>
    <reviewItem>
      <errorID>594fddf8-3569-425c-86bb-8f71b111c760</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178DDD5A</paraID>
      <start>92</start>
      <end>94</end>
      <status>unmodified</status>
      <modifiedWord/>
      <trackRevisions>false</trackRevisions>
    </reviewItem>
    <reviewItem>
      <errorID>7b568fb9-e51b-4f0a-9061-fa659787e3dd</errorID>
      <errorWord>、</errorWord>
      <group>L1_Word</group>
      <groupName>字词问题</groupName>
      <ability>L2_Typo</ability>
      <abilityName>字词错误</abilityName>
      <candidateList>
        <item>、第</item>
      </candidateList>
      <explain/>
      <paraID>519A0090</paraID>
      <start>47</start>
      <end>48</end>
      <status>unmodified</status>
      <modifiedWord/>
      <trackRevisions>false</trackRevisions>
    </reviewItem>
    <reviewItem>
      <errorID>8b11dd78-4bee-4954-b9b3-374737b65e3f</errorID>
      <errorWord>县（市）区</errorWord>
      <group>L1_Political</group>
      <groupName>政治性问题</groupName>
      <ability>L2_Unpolitical</ability>
      <abilityName>政治敏感错误</abilityName>
      <candidateList>
        <item>县（市、区）</item>
      </candidateList>
      <explain/>
      <paraID>6A935EA3</paraID>
      <start>108</start>
      <end>113</end>
      <status>unmodified</status>
      <modifiedWord/>
      <trackRevisions>false</trackRevisions>
    </reviewItem>
    <reviewItem>
      <errorID>25bd86a3-c608-4323-89ed-456008394273</errorID>
      <errorWord>县（市）区</errorWord>
      <group>L1_Punc</group>
      <groupName>标点问题</groupName>
      <ability>L2_Punc</ability>
      <abilityName>标点符号检查</abilityName>
      <candidateList>
        <item>县（市、区）</item>
      </candidateList>
      <explain/>
      <paraID>6A935EA3</paraID>
      <start>153</start>
      <end>158</end>
      <status>unmodified</status>
      <modifiedWord/>
      <trackRevisions>false</trackRevisions>
    </reviewItem>
    <reviewItem>
      <errorID>028007ed-ef4e-48aa-a51d-b46469c6cd78</errorID>
      <errorWord>务</errorWord>
      <group>L1_Word</group>
      <groupName>字词问题</groupName>
      <ability>L2_Typo</ability>
      <abilityName>字词错误</abilityName>
      <candidateList>
        <item>务局</item>
      </candidateList>
      <explain/>
      <paraID>6A935EA3</paraID>
      <start>159</start>
      <end>160</end>
      <status>unmodified</status>
      <modifiedWord/>
      <trackRevisions>false</trackRevisions>
    </reviewItem>
    <reviewItem>
      <errorID>3cd5d36f-20ff-465f-8fa9-fb02f03ba049</errorID>
      <errorWord>县（市）区</errorWord>
      <group>L1_Punc</group>
      <groupName>标点问题</groupName>
      <ability>L2_Punc</ability>
      <abilityName>标点符号检查</abilityName>
      <candidateList>
        <item>县（市、区）</item>
      </candidateList>
      <explain/>
      <paraID>43FDE7F9</paraID>
      <start>8</start>
      <end>13</end>
      <status>unmodified</status>
      <modifiedWord/>
      <trackRevisions>false</trackRevisions>
    </reviewItem>
    <reviewItem>
      <errorID>7f97df89-3aa6-4eec-a0e4-fdfe45165a00</errorID>
      <errorWord>县（市）区</errorWord>
      <group>L1_Political</group>
      <groupName>政治性问题</groupName>
      <ability>L2_Unpolitical</ability>
      <abilityName>政治敏感错误</abilityName>
      <candidateList>
        <item>县（市、区）</item>
      </candidateList>
      <explain/>
      <paraID>43FDE7F9</paraID>
      <start>39</start>
      <end>44</end>
      <status>unmodified</status>
      <modifiedWord/>
      <trackRevisions>false</trackRevisions>
    </reviewItem>
    <reviewItem>
      <errorID>ead36de5-fe6b-477d-a6a3-66842b13731a</errorID>
      <errorWord>县（市）区</errorWord>
      <group>L1_Punc</group>
      <groupName>标点问题</groupName>
      <ability>L2_Punc</ability>
      <abilityName>标点符号检查</abilityName>
      <candidateList>
        <item>县（市、区）</item>
      </candidateList>
      <explain/>
      <paraID>46AC7E4E</paraID>
      <start>11</start>
      <end>16</end>
      <status>unmodified</status>
      <modifiedWord/>
      <trackRevisions>false</trackRevisions>
    </reviewItem>
    <reviewItem>
      <errorID>1329f889-56e9-472e-9a00-0ed44ae8123f</errorID>
      <errorWord>县（市）区</errorWord>
      <group>L1_Punc</group>
      <groupName>标点问题</groupName>
      <ability>L2_Punc</ability>
      <abilityName>标点符号检查</abilityName>
      <candidateList>
        <item>县（市、区）</item>
      </candidateList>
      <explain/>
      <paraID>46AC7E4E</paraID>
      <start>37</start>
      <end>42</end>
      <status>unmodified</status>
      <modifiedWord/>
      <trackRevisions>false</trackRevisions>
    </reviewItem>
    <reviewItem>
      <errorID>b2a62ea2-f9d4-4064-b54d-c88c920b1ae1</errorID>
      <errorWord>万</errorWord>
      <group>L1_Word</group>
      <groupName>字词问题</groupName>
      <ability>L2_Typo</ability>
      <abilityName>字词错误</abilityName>
      <candidateList>
        <item>万元</item>
      </candidateList>
      <explain/>
      <paraID>443D2E0C</paraID>
      <start>129</start>
      <end>130</end>
      <status>unmodified</status>
      <modifiedWord/>
      <trackRevisions>false</trackRevisions>
    </reviewItem>
    <reviewItem>
      <errorID>3d79ad2a-803a-46ab-afe1-090baa8a8b24</errorID>
      <errorWord>；</errorWord>
      <group>L1_Word</group>
      <groupName>字词问题</groupName>
      <ability>L2_Typo</ability>
      <abilityName>字词错误</abilityName>
      <candidateList>
        <item>；在</item>
      </candidateList>
      <explain/>
      <paraID> 379DDE2</paraID>
      <start>58</start>
      <end>59</end>
      <status>unmodified</status>
      <modifiedWord/>
      <trackRevisions>false</trackRevisions>
    </reviewItem>
    <reviewItem>
      <errorID>11647fe2-79f4-463e-9726-0fd7948e3caf</errorID>
      <errorWord>，</errorWord>
      <group>L1_Word</group>
      <groupName>字词问题</groupName>
      <ability>L2_Typo</ability>
      <abilityName>字词错误</abilityName>
      <candidateList>
        <item>，对</item>
      </candidateList>
      <explain/>
      <paraID>3CD7EF69</paraID>
      <start>36</start>
      <end>37</end>
      <status>unmodified</status>
      <modifiedWord/>
      <trackRevisions>false</trackRevisions>
    </reviewItem>
    <reviewItem>
      <errorID>3837b43a-01d5-4bd5-bb7a-95ad034b4ba6</errorID>
      <errorWord>超</errorWord>
      <group>L1_Word</group>
      <groupName>字词问题</groupName>
      <ability>L2_Typo</ability>
      <abilityName>字词错误</abilityName>
      <candidateList>
        <item>超过</item>
      </candidateList>
      <explain/>
      <paraID>2056ED55</paraID>
      <start>14</start>
      <end>15</end>
      <status>unmodified</status>
      <modifiedWord/>
      <trackRevisions>false</trackRevisions>
    </reviewItem>
    <reviewItem>
      <errorID>51eaa05e-5783-41f5-a1bb-76e0a3807e08</errorID>
      <errorWord>，如</errorWord>
      <group>L1_Word</group>
      <groupName>字词问题</groupName>
      <ability>L2_Typo</ability>
      <abilityName>字词错误</abilityName>
      <candidateList>
        <item>，</item>
      </candidateList>
      <explain/>
      <paraID>3295CC47</paraID>
      <start>30</start>
      <end>32</end>
      <status>unmodified</status>
      <modifiedWord/>
      <trackRevisions>false</trackRevisions>
    </reviewItem>
    <reviewItem>
      <errorID>b90241df-3fdc-470f-b756-d7e9bdbe830e</errorID>
      <errorWord>，</errorWord>
      <group>L1_Word</group>
      <groupName>字词问题</groupName>
      <ability>L2_Typo</ability>
      <abilityName>字词错误</abilityName>
      <candidateList>
        <item>，由</item>
      </candidateList>
      <explain/>
      <paraID>52964BCC</paraID>
      <start>122</start>
      <end>123</end>
      <status>unmodified</status>
      <modifiedWord/>
      <trackRevisions>false</trackRevisions>
    </reviewItem>
    <reviewItem>
      <errorID>1e9a1fc8-0789-4150-bc68-401c23ef3c93</errorID>
      <errorWord>，</errorWord>
      <group>L1_Word</group>
      <groupName>字词问题</groupName>
      <ability>L2_Typo</ability>
      <abilityName>字词错误</abilityName>
      <candidateList>
        <item>，将</item>
      </candidateList>
      <explain/>
      <paraID>290F1505</paraID>
      <start>43</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093e37-1b55-4f33-898a-b54a69199e60}">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9980</Words>
  <Characters>10084</Characters>
  <Lines>0</Lines>
  <Paragraphs>0</Paragraphs>
  <TotalTime>18</TotalTime>
  <ScaleCrop>false</ScaleCrop>
  <LinksUpToDate>false</LinksUpToDate>
  <CharactersWithSpaces>10129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2025-11-21T01:11:00Z</dcterms:created>
  <dc:creator>朱家杭</dc:creator>
  <cp:lastModifiedBy>朱家杭</cp:lastModifiedBy>
  <cp:lastPrinted>2025-12-08T01:31:13Z</cp:lastPrinted>
  <dcterms:modified xsi:type="dcterms:W3CDTF">2025-12-08T02:50:34Z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1FE23C23CBFF455A963E039305C63B1C_13</vt:lpwstr>
  </property>
  <property fmtid="{D5CDD505-2E9C-101B-9397-08002B2CF9AE}" pid="4" name="KSOTemplateDocerSaveRecord">
    <vt:lpwstr>eyJoZGlkIjoiMWYwZjMwNTllZjJjNDBmYmU0ZTIzNzRkNTA3OGVhNzQiLCJ1c2VySWQiOiIyNDk2MDY4OTkifQ==</vt:lpwstr>
  </property>
</Properties>
</file>