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7B40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小标宋简体" w:cs="Times New Roman"/>
          <w:kern w:val="2"/>
          <w:sz w:val="32"/>
          <w:szCs w:val="32"/>
          <w:lang w:val="en-US" w:eastAsia="zh-CN" w:bidi="ar-SA"/>
        </w:rPr>
      </w:pPr>
      <w:r>
        <w:rPr>
          <w:rFonts w:hint="eastAsia" w:ascii="仿宋_GB2312" w:eastAsia="仿宋_GB2312" w:cs="仿宋_GB2312"/>
          <w:sz w:val="32"/>
          <w:szCs w:val="32"/>
          <w:lang w:val="en-US" w:eastAsia="zh-CN" w:bidi="ar-SA"/>
        </w:rPr>
        <w:t>附件1</w:t>
      </w:r>
    </w:p>
    <w:p w14:paraId="5E63AAF5">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outlineLvl w:val="0"/>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长春市消费新业态新模式新场景</w:t>
      </w:r>
    </w:p>
    <w:p w14:paraId="415A1DAA">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outlineLvl w:val="0"/>
        <w:rPr>
          <w:rFonts w:hint="eastAsia" w:ascii="Times New Roman" w:hAnsi="Times New Roman" w:eastAsia="方正小标宋简体" w:cs="Times New Roman"/>
          <w:kern w:val="2"/>
          <w:sz w:val="44"/>
          <w:szCs w:val="44"/>
          <w:lang w:val="en-US" w:eastAsia="zh-CN" w:bidi="ar-SA"/>
        </w:rPr>
      </w:pPr>
      <w:r>
        <w:rPr>
          <w:rFonts w:hint="eastAsia" w:eastAsia="方正小标宋简体" w:cs="Times New Roman"/>
          <w:kern w:val="2"/>
          <w:sz w:val="44"/>
          <w:szCs w:val="44"/>
          <w:lang w:val="en-US" w:eastAsia="zh-CN" w:bidi="ar-SA"/>
        </w:rPr>
        <w:t>试点项目</w:t>
      </w:r>
      <w:r>
        <w:rPr>
          <w:rFonts w:hint="eastAsia" w:ascii="Times New Roman" w:hAnsi="Times New Roman" w:eastAsia="方正小标宋简体" w:cs="Times New Roman"/>
          <w:kern w:val="2"/>
          <w:sz w:val="44"/>
          <w:szCs w:val="44"/>
          <w:lang w:val="en-US" w:eastAsia="zh-CN" w:bidi="ar-SA"/>
        </w:rPr>
        <w:t>管理办法</w:t>
      </w:r>
    </w:p>
    <w:p w14:paraId="3776BEB4">
      <w:pPr>
        <w:keepNext w:val="0"/>
        <w:keepLines w:val="0"/>
        <w:pageBreakBefore w:val="0"/>
        <w:widowControl w:val="0"/>
        <w:kinsoku/>
        <w:wordWrap/>
        <w:overflowPunct/>
        <w:topLinePunct w:val="0"/>
        <w:autoSpaceDE/>
        <w:autoSpaceDN/>
        <w:bidi w:val="0"/>
        <w:spacing w:line="560" w:lineRule="exact"/>
        <w:ind w:left="0" w:firstLine="3040" w:firstLineChars="950"/>
        <w:jc w:val="both"/>
        <w:textAlignment w:val="auto"/>
        <w:outlineLvl w:val="0"/>
        <w:rPr>
          <w:rFonts w:hint="eastAsia" w:ascii="楷体" w:eastAsia="楷体" w:cs="黑体"/>
          <w:sz w:val="32"/>
          <w:szCs w:val="32"/>
        </w:rPr>
      </w:pPr>
      <w:bookmarkStart w:id="0" w:name="heading_0"/>
      <w:r>
        <w:rPr>
          <w:rFonts w:hint="eastAsia" w:ascii="楷体" w:eastAsia="楷体" w:cs="黑体"/>
          <w:sz w:val="32"/>
          <w:szCs w:val="32"/>
        </w:rPr>
        <w:t>（征求意见稿）</w:t>
      </w:r>
      <w:bookmarkStart w:id="25" w:name="_GoBack"/>
      <w:bookmarkEnd w:id="25"/>
    </w:p>
    <w:p w14:paraId="6D818236">
      <w:pPr>
        <w:keepNext w:val="0"/>
        <w:keepLines w:val="0"/>
        <w:pageBreakBefore w:val="0"/>
        <w:widowControl w:val="0"/>
        <w:kinsoku/>
        <w:wordWrap/>
        <w:overflowPunct/>
        <w:topLinePunct w:val="0"/>
        <w:autoSpaceDE/>
        <w:autoSpaceDN/>
        <w:bidi w:val="0"/>
        <w:spacing w:line="560" w:lineRule="exact"/>
        <w:ind w:left="0" w:firstLine="3040" w:firstLineChars="950"/>
        <w:jc w:val="both"/>
        <w:textAlignment w:val="auto"/>
        <w:outlineLvl w:val="0"/>
        <w:rPr>
          <w:rFonts w:hint="eastAsia" w:ascii="楷体" w:eastAsia="楷体" w:cs="黑体"/>
          <w:sz w:val="32"/>
          <w:szCs w:val="32"/>
        </w:rPr>
      </w:pPr>
    </w:p>
    <w:p w14:paraId="4E8AFDD1">
      <w:pPr>
        <w:keepNext w:val="0"/>
        <w:keepLines w:val="0"/>
        <w:pageBreakBefore w:val="0"/>
        <w:widowControl w:val="0"/>
        <w:kinsoku/>
        <w:wordWrap/>
        <w:overflowPunct/>
        <w:topLinePunct w:val="0"/>
        <w:autoSpaceDE/>
        <w:autoSpaceDN/>
        <w:bidi w:val="0"/>
        <w:spacing w:line="560" w:lineRule="exact"/>
        <w:ind w:left="0" w:firstLine="3200" w:firstLineChars="1000"/>
        <w:jc w:val="both"/>
        <w:textAlignment w:val="auto"/>
        <w:outlineLvl w:val="0"/>
        <w:rPr>
          <w:rFonts w:hint="eastAsia" w:ascii="黑体" w:eastAsia="黑体" w:cs="黑体"/>
          <w:b/>
          <w:sz w:val="32"/>
          <w:szCs w:val="32"/>
        </w:rPr>
      </w:pPr>
      <w:r>
        <w:rPr>
          <w:rFonts w:hint="eastAsia" w:ascii="黑体" w:eastAsia="黑体" w:cs="黑体"/>
          <w:sz w:val="32"/>
          <w:szCs w:val="32"/>
        </w:rPr>
        <w:t>第一章</w:t>
      </w:r>
      <w:r>
        <w:rPr>
          <w:rFonts w:hint="eastAsia" w:ascii="黑体" w:eastAsia="黑体" w:cs="黑体"/>
          <w:sz w:val="32"/>
          <w:szCs w:val="32"/>
          <w:lang w:val="en-US" w:eastAsia="zh-CN"/>
        </w:rPr>
        <w:t xml:space="preserve">  </w:t>
      </w:r>
      <w:r>
        <w:rPr>
          <w:rFonts w:hint="eastAsia" w:ascii="黑体" w:eastAsia="黑体" w:cs="黑体"/>
          <w:sz w:val="32"/>
          <w:szCs w:val="32"/>
        </w:rPr>
        <w:t>总则</w:t>
      </w:r>
      <w:bookmarkEnd w:id="0"/>
    </w:p>
    <w:p w14:paraId="143D8A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eastAsia="仿宋_GB2312" w:cs="仿宋"/>
          <w:bCs/>
          <w:sz w:val="32"/>
          <w:szCs w:val="32"/>
          <w:lang w:val="en-US" w:eastAsia="zh-CN"/>
        </w:rPr>
      </w:pPr>
      <w:bookmarkStart w:id="1" w:name="heading_1"/>
      <w:r>
        <w:rPr>
          <w:rFonts w:hint="eastAsia" w:ascii="楷体" w:eastAsia="楷体" w:cs="仿宋"/>
          <w:b w:val="0"/>
          <w:bCs/>
          <w:sz w:val="32"/>
          <w:szCs w:val="32"/>
        </w:rPr>
        <w:t>第一条</w:t>
      </w:r>
      <w:bookmarkEnd w:id="1"/>
      <w:r>
        <w:rPr>
          <w:rFonts w:hint="eastAsia" w:ascii="楷体" w:eastAsia="楷体" w:cs="仿宋"/>
          <w:b w:val="0"/>
          <w:bCs/>
          <w:sz w:val="32"/>
          <w:szCs w:val="32"/>
          <w:lang w:val="en-US" w:eastAsia="zh-CN"/>
        </w:rPr>
        <w:t xml:space="preserve"> 依据与目的</w:t>
      </w:r>
      <w:r>
        <w:rPr>
          <w:rFonts w:ascii="楷体" w:eastAsia="楷体" w:cs="仿宋"/>
          <w:b w:val="0"/>
          <w:bCs/>
          <w:sz w:val="32"/>
          <w:szCs w:val="32"/>
          <w:lang w:val="en-US" w:eastAsia="zh-CN"/>
        </w:rPr>
        <w:t>。</w:t>
      </w:r>
      <w:r>
        <w:rPr>
          <w:rFonts w:hint="eastAsia" w:ascii="仿宋_GB2312" w:eastAsia="仿宋_GB2312" w:cs="仿宋"/>
          <w:sz w:val="32"/>
          <w:szCs w:val="32"/>
        </w:rPr>
        <w:t>根据《财政部</w:t>
      </w:r>
      <w:r>
        <w:rPr>
          <w:rFonts w:hint="eastAsia" w:ascii="仿宋_GB2312" w:eastAsia="仿宋_GB2312" w:cs="仿宋"/>
          <w:sz w:val="32"/>
          <w:szCs w:val="32"/>
          <w:lang w:val="en-US" w:eastAsia="zh-CN"/>
        </w:rPr>
        <w:t xml:space="preserve"> </w:t>
      </w:r>
      <w:r>
        <w:rPr>
          <w:rFonts w:hint="eastAsia" w:ascii="仿宋_GB2312" w:eastAsia="仿宋_GB2312" w:cs="仿宋"/>
          <w:sz w:val="32"/>
          <w:szCs w:val="32"/>
        </w:rPr>
        <w:t>商务部关于开展消费新业态新模式新场景试点工作的通知》（财建〔2025〕341号）和《商务部</w:t>
      </w:r>
      <w:r>
        <w:rPr>
          <w:rFonts w:hint="eastAsia" w:ascii="仿宋_GB2312" w:eastAsia="仿宋_GB2312" w:cs="仿宋"/>
          <w:sz w:val="32"/>
          <w:szCs w:val="32"/>
          <w:lang w:val="en-US" w:eastAsia="zh-CN"/>
        </w:rPr>
        <w:t xml:space="preserve"> </w:t>
      </w:r>
      <w:r>
        <w:rPr>
          <w:rFonts w:hint="eastAsia" w:ascii="仿宋_GB2312" w:eastAsia="仿宋_GB2312" w:cs="仿宋"/>
          <w:sz w:val="32"/>
          <w:szCs w:val="32"/>
        </w:rPr>
        <w:t>办公厅财政部办公厅关于做好消费新业态新模式新场景试点有关工作的通知》有关规定，为加快推进长春市消费新业态新模式新场景（以下简称“三新”）</w:t>
      </w:r>
      <w:r>
        <w:rPr>
          <w:rFonts w:hint="eastAsia" w:ascii="仿宋_GB2312" w:eastAsia="仿宋_GB2312" w:cs="仿宋"/>
          <w:sz w:val="32"/>
          <w:szCs w:val="32"/>
          <w:lang w:eastAsia="zh-CN"/>
        </w:rPr>
        <w:t>试点项目</w:t>
      </w:r>
      <w:r>
        <w:rPr>
          <w:rFonts w:hint="eastAsia" w:ascii="仿宋_GB2312" w:eastAsia="仿宋_GB2312" w:cs="仿宋"/>
          <w:sz w:val="32"/>
          <w:szCs w:val="32"/>
        </w:rPr>
        <w:t>建设，规范</w:t>
      </w:r>
      <w:r>
        <w:rPr>
          <w:rFonts w:hint="eastAsia" w:ascii="仿宋_GB2312" w:eastAsia="仿宋_GB2312" w:cs="仿宋"/>
          <w:sz w:val="32"/>
          <w:szCs w:val="32"/>
          <w:lang w:val="en-US" w:eastAsia="zh-CN"/>
        </w:rPr>
        <w:t>消费三新试点项目</w:t>
      </w:r>
      <w:r>
        <w:rPr>
          <w:rFonts w:hint="eastAsia" w:ascii="仿宋_GB2312" w:eastAsia="仿宋_GB2312" w:cs="仿宋"/>
          <w:sz w:val="32"/>
          <w:szCs w:val="32"/>
        </w:rPr>
        <w:t>全流程管理，确保试点任务落地见效、中央财政专项资金规范高效使用，结合长春市实际，制定本办法。</w:t>
      </w:r>
    </w:p>
    <w:p w14:paraId="6ADA14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eastAsia="仿宋_GB2312" w:cs="仿宋"/>
          <w:sz w:val="32"/>
          <w:szCs w:val="32"/>
          <w:lang w:eastAsia="zh-CN"/>
        </w:rPr>
      </w:pPr>
      <w:bookmarkStart w:id="2" w:name="heading_2"/>
      <w:r>
        <w:rPr>
          <w:rFonts w:hint="eastAsia" w:ascii="楷体" w:eastAsia="楷体" w:cs="仿宋"/>
          <w:b w:val="0"/>
          <w:bCs/>
          <w:sz w:val="32"/>
          <w:szCs w:val="32"/>
        </w:rPr>
        <w:t>第二条</w:t>
      </w:r>
      <w:r>
        <w:rPr>
          <w:rFonts w:hint="eastAsia" w:ascii="楷体" w:eastAsia="楷体" w:cs="仿宋"/>
          <w:b w:val="0"/>
          <w:bCs/>
          <w:sz w:val="32"/>
          <w:szCs w:val="32"/>
          <w:lang w:val="en-US" w:eastAsia="zh-CN"/>
        </w:rPr>
        <w:t xml:space="preserve"> </w:t>
      </w:r>
      <w:r>
        <w:rPr>
          <w:rFonts w:hint="eastAsia" w:ascii="楷体" w:eastAsia="楷体" w:cs="仿宋"/>
          <w:b w:val="0"/>
          <w:bCs/>
          <w:sz w:val="32"/>
          <w:szCs w:val="32"/>
        </w:rPr>
        <w:t>适用范围</w:t>
      </w:r>
      <w:bookmarkEnd w:id="2"/>
      <w:r>
        <w:rPr>
          <w:rFonts w:ascii="楷体" w:eastAsia="楷体" w:cs="仿宋"/>
          <w:b w:val="0"/>
          <w:bCs/>
          <w:sz w:val="32"/>
          <w:szCs w:val="32"/>
        </w:rPr>
        <w:t>。</w:t>
      </w:r>
      <w:r>
        <w:rPr>
          <w:rFonts w:hint="eastAsia" w:ascii="仿宋_GB2312" w:eastAsia="仿宋_GB2312" w:cs="仿宋"/>
          <w:sz w:val="32"/>
          <w:szCs w:val="32"/>
          <w:lang w:eastAsia="zh-CN"/>
        </w:rPr>
        <w:t>本办法适用于长春市消费三新试点项目专项资金支持的各类项目，涵盖消费三新试点项目的申报、评审、实施、验收、监管等全过程管理。适用主体为长春市参与消费三新试点项目的实施单位、各级行业主管部门及相关</w:t>
      </w:r>
      <w:r>
        <w:rPr>
          <w:rFonts w:hint="eastAsia" w:ascii="仿宋_GB2312" w:eastAsia="仿宋_GB2312" w:cs="仿宋"/>
          <w:sz w:val="32"/>
          <w:szCs w:val="32"/>
          <w:lang w:val="en-US" w:eastAsia="zh-CN"/>
        </w:rPr>
        <w:t>独立</w:t>
      </w:r>
      <w:r>
        <w:rPr>
          <w:rFonts w:hint="eastAsia" w:ascii="仿宋_GB2312" w:eastAsia="仿宋_GB2312" w:cs="仿宋"/>
          <w:sz w:val="32"/>
          <w:szCs w:val="32"/>
          <w:lang w:eastAsia="zh-CN"/>
        </w:rPr>
        <w:t>第三方机构。</w:t>
      </w:r>
      <w:bookmarkStart w:id="3" w:name="heading_3"/>
    </w:p>
    <w:p w14:paraId="439B71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ascii="楷体" w:eastAsia="楷体" w:cs="仿宋"/>
          <w:sz w:val="32"/>
          <w:szCs w:val="32"/>
          <w:highlight w:val="none"/>
          <w:lang w:val="en-US" w:eastAsia="zh-CN"/>
        </w:rPr>
      </w:pPr>
      <w:r>
        <w:rPr>
          <w:rFonts w:hint="eastAsia" w:ascii="楷体" w:eastAsia="楷体" w:cs="仿宋"/>
          <w:sz w:val="32"/>
          <w:szCs w:val="32"/>
          <w:highlight w:val="none"/>
          <w:lang w:val="en-US" w:eastAsia="zh-CN"/>
        </w:rPr>
        <w:t>第三条 储备项目库</w:t>
      </w:r>
      <w:r>
        <w:rPr>
          <w:rFonts w:ascii="楷体" w:eastAsia="楷体" w:cs="仿宋"/>
          <w:sz w:val="32"/>
          <w:szCs w:val="32"/>
          <w:highlight w:val="none"/>
          <w:lang w:val="en-US" w:eastAsia="zh-CN"/>
        </w:rPr>
        <w:t>。</w:t>
      </w:r>
      <w:r>
        <w:rPr>
          <w:rFonts w:hint="eastAsia" w:ascii="仿宋_GB2312" w:eastAsia="仿宋_GB2312" w:cs="仿宋"/>
          <w:b w:val="0"/>
          <w:bCs w:val="0"/>
          <w:sz w:val="32"/>
          <w:szCs w:val="32"/>
          <w:highlight w:val="none"/>
          <w:lang w:eastAsia="zh-CN"/>
        </w:rPr>
        <w:t>由项目单位按要求提交项目申报材料，经属地行业主管部门初审、市级对应行业主管部门复审后，统一汇总至长春市商务局，</w:t>
      </w:r>
      <w:r>
        <w:rPr>
          <w:rFonts w:hint="eastAsia" w:ascii="仿宋_GB2312" w:eastAsia="仿宋_GB2312" w:cs="仿宋"/>
          <w:b w:val="0"/>
          <w:bCs w:val="0"/>
          <w:sz w:val="32"/>
          <w:szCs w:val="32"/>
          <w:highlight w:val="none"/>
          <w:lang w:val="en-US" w:eastAsia="zh-CN"/>
        </w:rPr>
        <w:t>汇总</w:t>
      </w:r>
      <w:r>
        <w:rPr>
          <w:rFonts w:hint="eastAsia" w:ascii="仿宋_GB2312" w:eastAsia="仿宋_GB2312" w:cs="仿宋"/>
          <w:b w:val="0"/>
          <w:bCs w:val="0"/>
          <w:sz w:val="32"/>
          <w:szCs w:val="32"/>
          <w:highlight w:val="none"/>
          <w:lang w:eastAsia="zh-CN"/>
        </w:rPr>
        <w:t>形成的</w:t>
      </w:r>
      <w:r>
        <w:rPr>
          <w:rFonts w:hint="eastAsia" w:ascii="仿宋_GB2312" w:eastAsia="仿宋_GB2312" w:cs="仿宋"/>
          <w:b w:val="0"/>
          <w:bCs w:val="0"/>
          <w:sz w:val="32"/>
          <w:szCs w:val="32"/>
          <w:highlight w:val="none"/>
          <w:lang w:val="en-US" w:eastAsia="zh-CN"/>
        </w:rPr>
        <w:t>储备项目库</w:t>
      </w:r>
      <w:r>
        <w:rPr>
          <w:rFonts w:hint="eastAsia" w:ascii="仿宋_GB2312" w:eastAsia="仿宋_GB2312" w:cs="仿宋"/>
          <w:b w:val="0"/>
          <w:bCs w:val="0"/>
          <w:sz w:val="32"/>
          <w:szCs w:val="32"/>
          <w:highlight w:val="none"/>
          <w:lang w:eastAsia="zh-CN"/>
        </w:rPr>
        <w:t>。</w:t>
      </w:r>
    </w:p>
    <w:p w14:paraId="6B166E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highlight w:val="none"/>
          <w:lang w:val="en-US" w:eastAsia="zh-CN"/>
        </w:rPr>
      </w:pPr>
      <w:r>
        <w:rPr>
          <w:rFonts w:hint="eastAsia" w:ascii="楷体" w:eastAsia="楷体" w:cs="仿宋"/>
          <w:sz w:val="32"/>
          <w:szCs w:val="32"/>
          <w:highlight w:val="none"/>
          <w:lang w:val="en-US" w:eastAsia="zh-CN"/>
        </w:rPr>
        <w:t>第四条 拟支持项目库</w:t>
      </w:r>
      <w:r>
        <w:rPr>
          <w:rFonts w:ascii="楷体" w:eastAsia="楷体" w:cs="仿宋"/>
          <w:sz w:val="32"/>
          <w:szCs w:val="32"/>
          <w:highlight w:val="none"/>
          <w:lang w:val="en-US" w:eastAsia="zh-CN"/>
        </w:rPr>
        <w:t>。</w:t>
      </w:r>
      <w:r>
        <w:rPr>
          <w:rFonts w:hint="eastAsia" w:ascii="仿宋_GB2312" w:eastAsia="仿宋_GB2312" w:cs="仿宋"/>
          <w:b w:val="0"/>
          <w:bCs w:val="0"/>
          <w:sz w:val="32"/>
          <w:szCs w:val="32"/>
          <w:highlight w:val="none"/>
          <w:lang w:eastAsia="zh-CN"/>
        </w:rPr>
        <w:t>储备项目库中</w:t>
      </w:r>
      <w:r>
        <w:rPr>
          <w:rFonts w:hint="eastAsia" w:ascii="仿宋_GB2312" w:eastAsia="仿宋_GB2312" w:cs="仿宋"/>
          <w:b w:val="0"/>
          <w:bCs w:val="0"/>
          <w:sz w:val="32"/>
          <w:szCs w:val="32"/>
          <w:highlight w:val="none"/>
          <w:lang w:val="en-US" w:eastAsia="zh-CN"/>
        </w:rPr>
        <w:t>经由独立第三方机构组织</w:t>
      </w:r>
      <w:r>
        <w:rPr>
          <w:rFonts w:hint="eastAsia" w:ascii="仿宋_GB2312" w:eastAsia="仿宋_GB2312" w:cs="仿宋"/>
          <w:b w:val="0"/>
          <w:bCs w:val="0"/>
          <w:sz w:val="32"/>
          <w:szCs w:val="32"/>
          <w:highlight w:val="none"/>
          <w:lang w:eastAsia="zh-CN"/>
        </w:rPr>
        <w:t>专家</w:t>
      </w:r>
      <w:r>
        <w:rPr>
          <w:rFonts w:hint="eastAsia" w:ascii="仿宋_GB2312" w:eastAsia="仿宋_GB2312" w:cs="仿宋"/>
          <w:b w:val="0"/>
          <w:bCs w:val="0"/>
          <w:sz w:val="32"/>
          <w:szCs w:val="32"/>
          <w:highlight w:val="none"/>
          <w:lang w:val="en-US" w:eastAsia="zh-CN"/>
        </w:rPr>
        <w:t>入库</w:t>
      </w:r>
      <w:r>
        <w:rPr>
          <w:rFonts w:hint="eastAsia" w:ascii="仿宋_GB2312" w:eastAsia="仿宋_GB2312" w:cs="仿宋"/>
          <w:b w:val="0"/>
          <w:bCs w:val="0"/>
          <w:sz w:val="32"/>
          <w:szCs w:val="32"/>
          <w:highlight w:val="none"/>
          <w:lang w:eastAsia="zh-CN"/>
        </w:rPr>
        <w:t>评审后，确定拟支持的项目。</w:t>
      </w:r>
    </w:p>
    <w:p w14:paraId="40C6F3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 w:eastAsia="楷体" w:cs="仿宋"/>
          <w:sz w:val="32"/>
          <w:szCs w:val="32"/>
        </w:rPr>
      </w:pPr>
      <w:r>
        <w:rPr>
          <w:rFonts w:hint="eastAsia" w:ascii="楷体" w:eastAsia="楷体" w:cs="仿宋"/>
          <w:b w:val="0"/>
          <w:bCs w:val="0"/>
          <w:sz w:val="32"/>
          <w:szCs w:val="32"/>
          <w:lang w:eastAsia="zh-CN"/>
        </w:rPr>
        <w:t>第</w:t>
      </w:r>
      <w:r>
        <w:rPr>
          <w:rFonts w:hint="eastAsia" w:ascii="楷体" w:eastAsia="楷体" w:cs="仿宋"/>
          <w:b w:val="0"/>
          <w:bCs w:val="0"/>
          <w:sz w:val="32"/>
          <w:szCs w:val="32"/>
          <w:lang w:val="en-US" w:eastAsia="zh-CN"/>
        </w:rPr>
        <w:t>五</w:t>
      </w:r>
      <w:r>
        <w:rPr>
          <w:rFonts w:hint="eastAsia" w:ascii="楷体" w:eastAsia="楷体" w:cs="仿宋"/>
          <w:b w:val="0"/>
          <w:bCs w:val="0"/>
          <w:sz w:val="32"/>
          <w:szCs w:val="32"/>
          <w:lang w:eastAsia="zh-CN"/>
        </w:rPr>
        <w:t>条</w:t>
      </w:r>
      <w:r>
        <w:rPr>
          <w:rFonts w:hint="eastAsia" w:ascii="楷体" w:eastAsia="楷体" w:cs="仿宋"/>
          <w:b w:val="0"/>
          <w:bCs w:val="0"/>
          <w:sz w:val="32"/>
          <w:szCs w:val="32"/>
          <w:lang w:val="en-US" w:eastAsia="zh-CN"/>
        </w:rPr>
        <w:t xml:space="preserve"> 工作</w:t>
      </w:r>
      <w:r>
        <w:rPr>
          <w:rFonts w:hint="eastAsia" w:ascii="楷体" w:eastAsia="楷体" w:cs="仿宋"/>
          <w:b w:val="0"/>
          <w:bCs w:val="0"/>
          <w:sz w:val="32"/>
          <w:szCs w:val="32"/>
          <w:lang w:eastAsia="zh-CN"/>
        </w:rPr>
        <w:t>机制</w:t>
      </w:r>
      <w:bookmarkEnd w:id="3"/>
      <w:r>
        <w:rPr>
          <w:rFonts w:ascii="楷体" w:eastAsia="楷体" w:cs="仿宋"/>
          <w:b w:val="0"/>
          <w:bCs w:val="0"/>
          <w:sz w:val="32"/>
          <w:szCs w:val="32"/>
          <w:lang w:eastAsia="zh-CN"/>
        </w:rPr>
        <w:t>。</w:t>
      </w:r>
      <w:r>
        <w:rPr>
          <w:rFonts w:hint="eastAsia" w:ascii="仿宋_GB2312" w:eastAsia="仿宋_GB2312" w:cs="仿宋"/>
          <w:b w:val="0"/>
          <w:bCs w:val="0"/>
          <w:sz w:val="32"/>
          <w:szCs w:val="32"/>
          <w:lang w:val="en-US" w:eastAsia="zh-CN"/>
        </w:rPr>
        <w:t>消费三新试点项目</w:t>
      </w:r>
      <w:r>
        <w:rPr>
          <w:rFonts w:hint="eastAsia" w:ascii="仿宋_GB2312" w:eastAsia="仿宋_GB2312" w:cs="仿宋"/>
          <w:kern w:val="2"/>
          <w:sz w:val="32"/>
          <w:szCs w:val="32"/>
          <w:highlight w:val="none"/>
          <w:lang w:val="en-US" w:eastAsia="zh-CN" w:bidi="ar-SA"/>
        </w:rPr>
        <w:t>依托提振消费专班</w:t>
      </w:r>
      <w:r>
        <w:rPr>
          <w:rFonts w:hint="eastAsia" w:ascii="仿宋_GB2312" w:eastAsia="仿宋_GB2312" w:cs="仿宋"/>
          <w:b w:val="0"/>
          <w:bCs w:val="0"/>
          <w:sz w:val="32"/>
          <w:szCs w:val="32"/>
          <w:lang w:eastAsia="zh-CN"/>
        </w:rPr>
        <w:t>建立</w:t>
      </w:r>
      <w:r>
        <w:rPr>
          <w:rFonts w:hint="eastAsia" w:ascii="仿宋_GB2312" w:eastAsia="仿宋_GB2312" w:cs="仿宋"/>
          <w:b w:val="0"/>
          <w:bCs w:val="0"/>
          <w:sz w:val="32"/>
          <w:szCs w:val="32"/>
          <w:lang w:val="en-US" w:eastAsia="zh-CN"/>
        </w:rPr>
        <w:t>工作</w:t>
      </w:r>
      <w:r>
        <w:rPr>
          <w:rFonts w:hint="eastAsia" w:ascii="仿宋_GB2312" w:eastAsia="仿宋_GB2312" w:cs="仿宋"/>
          <w:b w:val="0"/>
          <w:bCs w:val="0"/>
          <w:sz w:val="32"/>
          <w:szCs w:val="32"/>
          <w:lang w:eastAsia="zh-CN"/>
        </w:rPr>
        <w:t>机制，研究解决项目实施中的重点难点问题，统筹推进试点工作。属地商务、文广旅、体育</w:t>
      </w:r>
      <w:r>
        <w:rPr>
          <w:rFonts w:hint="eastAsia" w:ascii="仿宋_GB2312" w:eastAsia="仿宋_GB2312" w:cs="仿宋"/>
          <w:b w:val="0"/>
          <w:bCs w:val="0"/>
          <w:sz w:val="32"/>
          <w:szCs w:val="32"/>
          <w:lang w:val="en-US" w:eastAsia="zh-CN"/>
        </w:rPr>
        <w:t>等</w:t>
      </w:r>
      <w:r>
        <w:rPr>
          <w:rFonts w:hint="eastAsia" w:ascii="仿宋_GB2312" w:eastAsia="仿宋_GB2312" w:cs="仿宋"/>
          <w:b w:val="0"/>
          <w:bCs w:val="0"/>
          <w:sz w:val="32"/>
          <w:szCs w:val="32"/>
          <w:lang w:eastAsia="zh-CN"/>
        </w:rPr>
        <w:t>部门负责本辖区内项目管理，</w:t>
      </w:r>
      <w:r>
        <w:rPr>
          <w:rFonts w:hint="eastAsia" w:ascii="仿宋_GB2312" w:eastAsia="仿宋_GB2312" w:cs="仿宋"/>
          <w:b w:val="0"/>
          <w:bCs w:val="0"/>
          <w:sz w:val="32"/>
          <w:szCs w:val="32"/>
          <w:lang w:val="en-US" w:eastAsia="zh-CN"/>
        </w:rPr>
        <w:t>提振消费专班相关成员单位</w:t>
      </w:r>
      <w:r>
        <w:rPr>
          <w:rFonts w:hint="eastAsia" w:ascii="仿宋_GB2312" w:eastAsia="仿宋_GB2312" w:cs="仿宋"/>
          <w:b w:val="0"/>
          <w:bCs w:val="0"/>
          <w:sz w:val="32"/>
          <w:szCs w:val="32"/>
          <w:lang w:eastAsia="zh-CN"/>
        </w:rPr>
        <w:t>按职责分工，协同抓好各项任务落实。</w:t>
      </w:r>
    </w:p>
    <w:p w14:paraId="7B8FAE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
          <w:sz w:val="32"/>
          <w:szCs w:val="32"/>
          <w:lang w:val="en-US" w:eastAsia="zh-CN"/>
        </w:rPr>
      </w:pPr>
      <w:bookmarkStart w:id="4" w:name="heading_4"/>
      <w:r>
        <w:rPr>
          <w:rFonts w:hint="eastAsia" w:ascii="楷体" w:eastAsia="楷体" w:cs="仿宋"/>
          <w:b w:val="0"/>
          <w:bCs w:val="0"/>
          <w:sz w:val="32"/>
          <w:szCs w:val="32"/>
          <w:lang w:eastAsia="zh-CN"/>
        </w:rPr>
        <w:t>第</w:t>
      </w:r>
      <w:r>
        <w:rPr>
          <w:rFonts w:hint="eastAsia" w:ascii="楷体" w:eastAsia="楷体" w:cs="仿宋"/>
          <w:b w:val="0"/>
          <w:bCs w:val="0"/>
          <w:sz w:val="32"/>
          <w:szCs w:val="32"/>
          <w:lang w:val="en-US" w:eastAsia="zh-CN"/>
        </w:rPr>
        <w:t>六</w:t>
      </w:r>
      <w:r>
        <w:rPr>
          <w:rFonts w:hint="eastAsia" w:ascii="楷体" w:eastAsia="楷体" w:cs="仿宋"/>
          <w:b w:val="0"/>
          <w:bCs w:val="0"/>
          <w:sz w:val="32"/>
          <w:szCs w:val="32"/>
          <w:lang w:eastAsia="zh-CN"/>
        </w:rPr>
        <w:t>条</w:t>
      </w:r>
      <w:r>
        <w:rPr>
          <w:rFonts w:hint="eastAsia" w:ascii="楷体" w:eastAsia="楷体" w:cs="仿宋"/>
          <w:b w:val="0"/>
          <w:bCs w:val="0"/>
          <w:sz w:val="32"/>
          <w:szCs w:val="32"/>
          <w:lang w:val="en-US" w:eastAsia="zh-CN"/>
        </w:rPr>
        <w:t xml:space="preserve"> </w:t>
      </w:r>
      <w:r>
        <w:rPr>
          <w:rFonts w:hint="eastAsia" w:ascii="楷体" w:eastAsia="楷体" w:cs="仿宋"/>
          <w:b w:val="0"/>
          <w:bCs w:val="0"/>
          <w:sz w:val="32"/>
          <w:szCs w:val="32"/>
          <w:lang w:eastAsia="zh-CN"/>
        </w:rPr>
        <w:t>独立第三方</w:t>
      </w:r>
      <w:bookmarkEnd w:id="4"/>
      <w:r>
        <w:rPr>
          <w:rFonts w:ascii="楷体" w:eastAsia="楷体" w:cs="仿宋"/>
          <w:b w:val="0"/>
          <w:bCs w:val="0"/>
          <w:sz w:val="32"/>
          <w:szCs w:val="32"/>
          <w:lang w:eastAsia="zh-CN"/>
        </w:rPr>
        <w:t>。</w:t>
      </w:r>
      <w:r>
        <w:rPr>
          <w:rFonts w:hint="eastAsia" w:ascii="仿宋_GB2312" w:eastAsia="仿宋_GB2312" w:cs="仿宋"/>
          <w:sz w:val="32"/>
          <w:szCs w:val="32"/>
          <w:lang w:val="en-US" w:eastAsia="zh-CN"/>
        </w:rPr>
        <w:t>本办法所称的独立第三方，是指市商务局依据国家对试点工作要求和相关采购管理规定，通过政府采购方式确定的审计、监理咨询机构，确保其工作开展的独立性、公正性和专业性。</w:t>
      </w:r>
    </w:p>
    <w:p w14:paraId="399ABE2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eastAsia="仿宋_GB2312" w:cs="仿宋"/>
          <w:sz w:val="32"/>
          <w:szCs w:val="32"/>
          <w:lang w:val="en-US" w:eastAsia="zh-CN"/>
        </w:rPr>
      </w:pPr>
      <w:r>
        <w:rPr>
          <w:rFonts w:hint="eastAsia" w:ascii="楷体" w:eastAsia="楷体" w:cs="仿宋"/>
          <w:sz w:val="32"/>
          <w:szCs w:val="32"/>
          <w:lang w:val="en-US" w:eastAsia="zh-CN"/>
        </w:rPr>
        <w:t xml:space="preserve">第七条 </w:t>
      </w:r>
      <w:r>
        <w:rPr>
          <w:rFonts w:ascii="仿宋_GB2312" w:hAnsi="宋体" w:eastAsia="仿宋_GB2312" w:cs="仿宋_GB2312"/>
          <w:color w:val="000000"/>
          <w:kern w:val="0"/>
          <w:sz w:val="31"/>
          <w:szCs w:val="31"/>
          <w:lang w:val="en-US" w:eastAsia="zh-CN" w:bidi="ar"/>
        </w:rPr>
        <w:t>长春市人民政府负责</w:t>
      </w:r>
      <w:r>
        <w:rPr>
          <w:rFonts w:hint="eastAsia" w:ascii="仿宋_GB2312" w:eastAsia="仿宋_GB2312" w:cs="仿宋"/>
          <w:sz w:val="32"/>
          <w:szCs w:val="32"/>
          <w:lang w:val="en-US" w:eastAsia="zh-CN"/>
        </w:rPr>
        <w:t>长春市消费新业态新模式新场景试点城市建设工作，市商务局会同相关部门负责具体落实。</w:t>
      </w:r>
    </w:p>
    <w:p w14:paraId="03578D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（一）市商务局</w:t>
      </w:r>
    </w:p>
    <w:p w14:paraId="3EE9B9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牵头统筹推进项目申报、评审、入库、监管、验收及绩效评价，建立项目动态管理机制，储备试点项目；结合实际细化支持方向和支持方式，明确资金拨付、监督、验收等要求；指导各县（市）区开展项目征集和初审，确定项目清单；加强日常监管，定期汇总项目进展；委托独立第三方机构开展项目验收，组织实施绩效评价。依托提振消费专班协同解决相关问题；做好信息公开及宣传推广工作。</w:t>
      </w:r>
    </w:p>
    <w:p w14:paraId="57F9B6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（二）市级行业主管部门</w:t>
      </w:r>
    </w:p>
    <w:p w14:paraId="79CA97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市文广旅局、市体育局配合做好本行业领域项目推荐、评审、验收等工作。</w:t>
      </w:r>
    </w:p>
    <w:p w14:paraId="686809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（三）属地行业主管部门职责</w:t>
      </w:r>
    </w:p>
    <w:p w14:paraId="5A3933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负责组织属地项目申报、初步审查、项目推荐、日常监管、进度跟踪、问题整改督导、初步验收及绩效管理等工作。</w:t>
      </w:r>
    </w:p>
    <w:p w14:paraId="7A4CFF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highlight w:val="none"/>
        </w:rPr>
      </w:pPr>
      <w:r>
        <w:rPr>
          <w:rFonts w:hint="eastAsia" w:ascii="仿宋_GB2312" w:eastAsia="仿宋_GB2312" w:cs="仿宋"/>
          <w:kern w:val="2"/>
          <w:sz w:val="32"/>
          <w:szCs w:val="32"/>
          <w:highlight w:val="none"/>
          <w:lang w:val="en-US" w:eastAsia="zh-CN" w:bidi="ar-SA"/>
        </w:rPr>
        <w:t>（四）项目单位职责</w:t>
      </w:r>
    </w:p>
    <w:p w14:paraId="79855E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1.项目单位是试点项目实施的责任主体，对申报材料的真实性和准确性负责，严格按照申报方案推进项目实施与建设，按时完成绩效目标，并及时申请验收，对验收中发现的问题按要求及时整改；</w:t>
      </w:r>
    </w:p>
    <w:p w14:paraId="3BD3F4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2.严格按照规定使用资金，并自觉接受商务、审计等部门的监督检查，配合各级行业主管部门及独立第三方机构开展建设进度检查、中期评估、验收、审计、绩效评价、指标统计等工作，确保项目规范实施、如期完成各项绩效指标；</w:t>
      </w:r>
    </w:p>
    <w:p w14:paraId="667E53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cs="仿宋"/>
          <w:kern w:val="2"/>
          <w:sz w:val="32"/>
          <w:szCs w:val="32"/>
          <w:highlight w:val="none"/>
          <w:lang w:val="en-US" w:eastAsia="zh-CN" w:bidi="ar-SA"/>
        </w:rPr>
        <w:t>3.规范落实项目专账管理、独立会计核算，确保资金使用与建设内容相符、凭证规范。</w:t>
      </w:r>
    </w:p>
    <w:p w14:paraId="4C8D77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kern w:val="2"/>
          <w:sz w:val="32"/>
          <w:szCs w:val="32"/>
          <w:highlight w:val="none"/>
        </w:rPr>
      </w:pPr>
      <w:r>
        <w:rPr>
          <w:rFonts w:hint="eastAsia" w:ascii="仿宋_GB2312" w:eastAsia="仿宋_GB2312" w:cs="仿宋"/>
          <w:kern w:val="2"/>
          <w:sz w:val="32"/>
          <w:szCs w:val="32"/>
          <w:highlight w:val="none"/>
          <w:lang w:val="en-US" w:eastAsia="zh-CN" w:bidi="ar-SA"/>
        </w:rPr>
        <w:t>（五）第三方机构职责</w:t>
      </w:r>
    </w:p>
    <w:p w14:paraId="3EC873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1.严格依照国家相关法律法规及本办法规定，规范开展项目评审、监理咨询、审计核查及竣工验收等各项工作，切实保障工作成果的真实性、客观性和公正性。</w:t>
      </w:r>
    </w:p>
    <w:p w14:paraId="11A1CF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2.按规定向市商务局及行业主管部门报送工作报告、审计报告、验收报告等材料。</w:t>
      </w:r>
    </w:p>
    <w:p w14:paraId="47921A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3.积极配合各级主管部门开展监督检查、问题核查等工作，及时准确提供相关工作资料。</w:t>
      </w:r>
    </w:p>
    <w:p w14:paraId="1EFE7F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4.严格履行保密义务，严禁泄露项目单位商业秘密及工作秘密，坚决杜绝弄虚作假、徇私舞弊等违规行为。</w:t>
      </w:r>
    </w:p>
    <w:p w14:paraId="49B2B42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2560" w:firstLineChars="800"/>
        <w:jc w:val="both"/>
        <w:textAlignment w:val="auto"/>
        <w:rPr>
          <w:rFonts w:hint="eastAsia" w:ascii="黑体" w:eastAsia="黑体" w:cs="黑体"/>
          <w:color w:val="000000"/>
          <w:sz w:val="32"/>
          <w:szCs w:val="32"/>
          <w:lang w:val="en-US" w:eastAsia="zh-CN" w:bidi="ar-SA"/>
        </w:rPr>
      </w:pPr>
      <w:r>
        <w:rPr>
          <w:rFonts w:ascii="黑体" w:eastAsia="黑体" w:cs="黑体"/>
          <w:color w:val="000000" w:themeColor="text1"/>
          <w:sz w:val="32"/>
          <w:szCs w:val="32"/>
          <w:lang w:val="en-US" w:eastAsia="zh-CN"/>
          <w14:textFill>
            <w14:solidFill>
              <w14:schemeClr w14:val="tx1"/>
            </w14:solidFill>
          </w14:textFill>
        </w:rPr>
        <w:t>第</w:t>
      </w:r>
      <w:r>
        <w:rPr>
          <w:rFonts w:hint="eastAsia" w:ascii="黑体" w:eastAsia="黑体" w:cs="黑体"/>
          <w:color w:val="000000" w:themeColor="text1"/>
          <w:sz w:val="32"/>
          <w:szCs w:val="32"/>
          <w:lang w:val="en-US" w:eastAsia="zh-CN"/>
          <w14:textFill>
            <w14:solidFill>
              <w14:schemeClr w14:val="tx1"/>
            </w14:solidFill>
          </w14:textFill>
        </w:rPr>
        <w:t>二</w:t>
      </w:r>
      <w:r>
        <w:rPr>
          <w:rFonts w:ascii="黑体" w:eastAsia="黑体" w:cs="黑体"/>
          <w:color w:val="000000" w:themeColor="text1"/>
          <w:sz w:val="32"/>
          <w:szCs w:val="32"/>
          <w:lang w:val="en-US" w:eastAsia="zh-CN"/>
          <w14:textFill>
            <w14:solidFill>
              <w14:schemeClr w14:val="tx1"/>
            </w14:solidFill>
          </w14:textFill>
        </w:rPr>
        <w:t xml:space="preserve">章 </w:t>
      </w:r>
      <w:r>
        <w:rPr>
          <w:rFonts w:hint="eastAsia" w:ascii="黑体" w:eastAsia="黑体" w:cs="黑体"/>
          <w:color w:val="000000" w:themeColor="text1"/>
          <w:sz w:val="32"/>
          <w:szCs w:val="32"/>
          <w:lang w:val="en-US" w:eastAsia="zh-CN"/>
          <w14:textFill>
            <w14:solidFill>
              <w14:schemeClr w14:val="tx1"/>
            </w14:solidFill>
          </w14:textFill>
        </w:rPr>
        <w:t xml:space="preserve"> 项目支持</w:t>
      </w:r>
      <w:r>
        <w:rPr>
          <w:rFonts w:hint="eastAsia" w:ascii="黑体" w:eastAsia="黑体" w:cs="黑体"/>
          <w:color w:val="000000"/>
          <w:sz w:val="32"/>
          <w:szCs w:val="32"/>
          <w:lang w:val="en-US" w:eastAsia="zh-CN" w:bidi="ar-SA"/>
        </w:rPr>
        <w:t>范围</w:t>
      </w:r>
    </w:p>
    <w:p w14:paraId="3C97C59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sz w:val="32"/>
          <w:szCs w:val="32"/>
          <w:lang w:val="en-US" w:eastAsia="zh-CN"/>
        </w:rPr>
      </w:pPr>
      <w:r>
        <w:rPr>
          <w:rFonts w:hint="eastAsia" w:ascii="楷体" w:eastAsia="楷体" w:cs="仿宋"/>
          <w:sz w:val="32"/>
          <w:szCs w:val="32"/>
          <w:lang w:val="en-US" w:eastAsia="zh-CN"/>
        </w:rPr>
        <w:t>第八条 试点项目支持方向。</w:t>
      </w:r>
    </w:p>
    <w:p w14:paraId="56354BD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color w:val="auto"/>
          <w:sz w:val="32"/>
          <w:szCs w:val="32"/>
          <w:lang w:val="en" w:eastAsia="zh-CN" w:bidi="ar-SA"/>
        </w:rPr>
      </w:pPr>
      <w:r>
        <w:rPr>
          <w:rFonts w:hint="eastAsia" w:ascii="楷体" w:eastAsia="楷体" w:cs="仿宋"/>
          <w:sz w:val="32"/>
          <w:szCs w:val="32"/>
          <w:lang w:val="en" w:eastAsia="zh-CN"/>
        </w:rPr>
        <w:t>（一）支持健全首发经济服务体系。</w:t>
      </w:r>
      <w:r>
        <w:rPr>
          <w:rFonts w:hint="eastAsia" w:ascii="仿宋_GB2312" w:eastAsia="仿宋_GB2312" w:cs="仿宋_GB2312"/>
          <w:color w:val="auto"/>
          <w:sz w:val="32"/>
          <w:szCs w:val="32"/>
          <w:lang w:val="en" w:eastAsia="zh-CN" w:bidi="ar-SA"/>
        </w:rPr>
        <w:t>支持打造一批首发中心、首发经济集聚区，在重点商圈商街、创意园区、文化场所等打造多层次的新品发布平台载体，集聚一批传播、传媒、广告、策划等专业服务机构。支持具有引领性的国内外品牌开设高能级首店、旗舰店、概念店，并推动首店向总店、总部提升发展。支持时尚服饰、消费电子、美妆、潮玩、家居、汽车、智能终端、运动潮品以及服务消费等领域具有创新性、引领性的产品和服务举办首发首秀首展活动。支持有关展会开设首发专区、专场，集中展示新产品新服务新技术。</w:t>
      </w:r>
    </w:p>
    <w:p w14:paraId="4217E2A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color w:val="auto"/>
          <w:sz w:val="32"/>
          <w:szCs w:val="32"/>
          <w:lang w:val="en" w:eastAsia="zh-CN" w:bidi="ar-SA"/>
        </w:rPr>
      </w:pPr>
      <w:r>
        <w:rPr>
          <w:rFonts w:hint="eastAsia" w:ascii="楷体" w:eastAsia="楷体" w:cs="仿宋"/>
          <w:sz w:val="32"/>
          <w:szCs w:val="32"/>
          <w:lang w:val="en" w:eastAsia="zh-CN"/>
        </w:rPr>
        <w:t>（二）支持创新多元化服务消费场景。</w:t>
      </w:r>
      <w:r>
        <w:rPr>
          <w:rFonts w:hint="eastAsia" w:ascii="仿宋_GB2312" w:eastAsia="仿宋_GB2312" w:cs="仿宋_GB2312"/>
          <w:color w:val="auto"/>
          <w:sz w:val="32"/>
          <w:szCs w:val="32"/>
          <w:lang w:val="en" w:eastAsia="zh-CN" w:bidi="ar-SA"/>
        </w:rPr>
        <w:t>支持业态创新、模式创新，推动人工智能、元宇宙等数字技术在文娱、旅游、健康、体育等领域的深化应用，打造一批商旅文体健融合的消费新场景。推动形成服务消费集聚区，支持重点商圈商街、文旅集聚区、传统购物型商超、废旧工业厂区向多元消费场景升级，拓展增加文化时尚、健康体育、艺术展览、主题社交、休闲娱乐等服务消费功能，推动重点赛事活动及演出“进商圈、进街区、进景区”。发展夜间经济，打造夜间文化和旅游消费集聚区。支持外贸优品展销中心、特色购物中心或购物区、外贸优品品牌集聚的特色商业街优化升级，推广自主品牌+直供直销，打造具有特色和吸引力的消费场景。</w:t>
      </w:r>
    </w:p>
    <w:p w14:paraId="0CF4750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color w:val="auto"/>
          <w:sz w:val="32"/>
          <w:szCs w:val="32"/>
          <w:lang w:val="en" w:eastAsia="zh-CN" w:bidi="ar-SA"/>
        </w:rPr>
      </w:pPr>
      <w:r>
        <w:rPr>
          <w:rFonts w:hint="eastAsia" w:ascii="楷体" w:eastAsia="楷体" w:cs="仿宋"/>
          <w:sz w:val="32"/>
          <w:szCs w:val="32"/>
          <w:lang w:val="en" w:eastAsia="zh-CN"/>
        </w:rPr>
        <w:t>（三）支持优质消费资源与知名IP跨界联名。</w:t>
      </w:r>
      <w:r>
        <w:rPr>
          <w:rFonts w:hint="eastAsia" w:ascii="仿宋_GB2312" w:eastAsia="仿宋_GB2312" w:cs="仿宋_GB2312"/>
          <w:color w:val="auto"/>
          <w:sz w:val="32"/>
          <w:szCs w:val="32"/>
          <w:lang w:val="en" w:eastAsia="zh-CN" w:bidi="ar-SA"/>
        </w:rPr>
        <w:t>依托互联网数字娱乐平台和知识产权（IP）孵化平台，打通设计、开发、生产、营销、推广全产业链，开发系列周边产品，开设主题店、概念店等沉浸式消费空间，激发优质资源消费潜力。支持围绕本地特色文化，联动国潮动漫影视知识产权（IP）及文博场馆、非遗机构、历史文化名城等传统资源，推出一批影响范围广、社交属性强、创意新颖的综合性消费场景。支持老字号企业、新消费品牌企业依托本地优质消费资源，开设新店、旗舰店，开发推出“老牌新品”、“国货潮品”。</w:t>
      </w:r>
    </w:p>
    <w:p w14:paraId="14A4CFB2">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sz w:val="32"/>
          <w:szCs w:val="32"/>
          <w:lang w:val="en-US" w:eastAsia="zh-CN"/>
        </w:rPr>
      </w:pPr>
      <w:r>
        <w:rPr>
          <w:rFonts w:hint="eastAsia" w:ascii="楷体" w:eastAsia="楷体" w:cs="仿宋"/>
          <w:sz w:val="32"/>
          <w:szCs w:val="32"/>
          <w:lang w:val="en-US" w:eastAsia="zh-CN"/>
        </w:rPr>
        <w:t xml:space="preserve">第九条 </w:t>
      </w:r>
      <w:r>
        <w:rPr>
          <w:rFonts w:hint="eastAsia" w:ascii="仿宋_GB2312" w:eastAsia="仿宋_GB2312" w:cs="仿宋_GB2312"/>
          <w:color w:val="auto"/>
          <w:sz w:val="32"/>
          <w:szCs w:val="32"/>
          <w:lang w:val="en-US" w:eastAsia="zh-CN" w:bidi="ar-SA"/>
        </w:rPr>
        <w:t>结合我市消费三新试点项目实际情况，本次试点建设重点支持以下方向。</w:t>
      </w:r>
    </w:p>
    <w:p w14:paraId="5E12B91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楷体" w:eastAsia="楷体" w:cs="仿宋"/>
          <w:sz w:val="32"/>
          <w:szCs w:val="32"/>
          <w:lang w:val="en" w:eastAsia="zh-CN"/>
        </w:rPr>
      </w:pPr>
      <w:r>
        <w:rPr>
          <w:rFonts w:hint="eastAsia" w:ascii="楷体" w:eastAsia="楷体" w:cs="仿宋"/>
          <w:sz w:val="32"/>
          <w:szCs w:val="32"/>
          <w:lang w:val="en" w:eastAsia="zh-CN"/>
        </w:rPr>
        <w:t>（一）健全首发经济服务体系</w:t>
      </w:r>
    </w:p>
    <w:p w14:paraId="2A83857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left"/>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1.支持首发中心、首发经济集聚区建设</w:t>
      </w:r>
    </w:p>
    <w:p w14:paraId="451705A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left"/>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支持内容：支持</w:t>
      </w:r>
      <w:r>
        <w:rPr>
          <w:rFonts w:hint="eastAsia" w:ascii="仿宋_GB2312" w:eastAsia="仿宋_GB2312" w:cs="仿宋_GB2312"/>
          <w:color w:val="auto"/>
          <w:sz w:val="32"/>
          <w:szCs w:val="32"/>
          <w:lang w:val="en" w:eastAsia="zh-CN" w:bidi="ar-SA"/>
        </w:rPr>
        <w:t>在重点商圈商街、创意园区、文化场所等打造多层次的新品发布平台载体，集聚一批传播、传媒、广告、策划等专业服务机构</w:t>
      </w:r>
      <w:r>
        <w:rPr>
          <w:rFonts w:hint="eastAsia" w:ascii="仿宋_GB2312" w:eastAsia="仿宋_GB2312" w:cs="仿宋_GB2312"/>
          <w:color w:val="auto"/>
          <w:sz w:val="32"/>
          <w:szCs w:val="32"/>
          <w:lang w:val="en-US" w:eastAsia="zh-CN" w:bidi="ar-SA"/>
        </w:rPr>
        <w:t>，强化新品首发、品牌展示与资源集聚效能。</w:t>
      </w:r>
    </w:p>
    <w:p w14:paraId="57F21F5A">
      <w:pPr>
        <w:pStyle w:val="11"/>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bidi w:val="0"/>
        <w:spacing w:line="56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kern w:val="2"/>
          <w:sz w:val="32"/>
          <w:szCs w:val="32"/>
          <w:lang w:val="en-US" w:eastAsia="zh-CN" w:bidi="ar-SA"/>
        </w:rPr>
        <w:t>2.</w:t>
      </w:r>
      <w:r>
        <w:rPr>
          <w:rFonts w:hint="eastAsia" w:ascii="仿宋_GB2312" w:eastAsia="仿宋_GB2312" w:cs="仿宋_GB2312"/>
          <w:color w:val="auto"/>
          <w:sz w:val="32"/>
          <w:szCs w:val="32"/>
          <w:lang w:val="en-US" w:eastAsia="zh-CN" w:bidi="ar-SA"/>
        </w:rPr>
        <w:t>支持首店、旗舰店、概念店培育</w:t>
      </w:r>
    </w:p>
    <w:p w14:paraId="05E1FCDD">
      <w:pPr>
        <w:pStyle w:val="11"/>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bidi w:val="0"/>
        <w:spacing w:line="56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支持内容：支持</w:t>
      </w:r>
      <w:r>
        <w:rPr>
          <w:rFonts w:hint="eastAsia" w:ascii="仿宋_GB2312" w:eastAsia="仿宋_GB2312" w:cs="仿宋_GB2312"/>
          <w:color w:val="auto"/>
          <w:sz w:val="32"/>
          <w:szCs w:val="32"/>
          <w:highlight w:val="none"/>
          <w:lang w:val="en-US" w:eastAsia="zh-CN" w:bidi="ar-SA"/>
        </w:rPr>
        <w:t>具有引领性的</w:t>
      </w:r>
      <w:r>
        <w:rPr>
          <w:rFonts w:hint="eastAsia" w:ascii="仿宋_GB2312" w:eastAsia="仿宋_GB2312" w:cs="仿宋_GB2312"/>
          <w:color w:val="auto"/>
          <w:sz w:val="32"/>
          <w:szCs w:val="32"/>
          <w:lang w:val="en-US" w:eastAsia="zh-CN" w:bidi="ar-SA"/>
        </w:rPr>
        <w:t>国内外品牌在长春开设高能级首店、旗舰店、概念店；支持首店企业扩大经营规模，推动首店</w:t>
      </w:r>
      <w:r>
        <w:rPr>
          <w:rFonts w:hint="eastAsia" w:ascii="仿宋_GB2312" w:eastAsia="仿宋_GB2312" w:cs="仿宋_GB2312"/>
          <w:color w:val="auto"/>
          <w:sz w:val="32"/>
          <w:szCs w:val="32"/>
          <w:lang w:val="en" w:eastAsia="zh-CN" w:bidi="ar-SA"/>
        </w:rPr>
        <w:t>向总店、总部提升发展</w:t>
      </w:r>
      <w:r>
        <w:rPr>
          <w:rFonts w:hint="eastAsia" w:ascii="仿宋_GB2312" w:eastAsia="仿宋_GB2312" w:cs="仿宋_GB2312"/>
          <w:color w:val="auto"/>
          <w:sz w:val="32"/>
          <w:szCs w:val="32"/>
          <w:lang w:val="en-US" w:eastAsia="zh-CN" w:bidi="ar-SA"/>
        </w:rPr>
        <w:t>。</w:t>
      </w:r>
    </w:p>
    <w:p w14:paraId="5C9146F1">
      <w:pPr>
        <w:pStyle w:val="11"/>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bidi w:val="0"/>
        <w:spacing w:line="56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3.支持举办首发首秀及首展活动</w:t>
      </w:r>
    </w:p>
    <w:p w14:paraId="01D33593">
      <w:pPr>
        <w:pStyle w:val="11"/>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bidi w:val="0"/>
        <w:spacing w:line="560" w:lineRule="exact"/>
        <w:ind w:left="0" w:firstLine="640" w:firstLineChars="200"/>
        <w:jc w:val="both"/>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支持内容：支持时尚服饰、消费电子、美妆、潮玩、家居、汽车、智能终端、运动潮品以及服务消费等领域知名品牌或机构，为推出具有创新性、引领性的产品和服务，在长春市举办首发首秀首展活动。</w:t>
      </w:r>
    </w:p>
    <w:p w14:paraId="75F4DEF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420" w:leftChars="200" w:firstLine="320" w:firstLineChars="100"/>
        <w:jc w:val="both"/>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4.支持展会开设首发专区、专场</w:t>
      </w:r>
    </w:p>
    <w:p w14:paraId="32B95AC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cs="仿宋_GB2312"/>
          <w:color w:val="000000"/>
          <w:sz w:val="32"/>
          <w:szCs w:val="32"/>
          <w:highlight w:val="none"/>
          <w:lang w:val="en-US" w:eastAsia="zh-CN" w:bidi="ar-SA"/>
        </w:rPr>
      </w:pPr>
      <w:r>
        <w:rPr>
          <w:rFonts w:hint="eastAsia" w:ascii="仿宋_GB2312" w:eastAsia="仿宋_GB2312" w:cs="仿宋_GB2312"/>
          <w:color w:val="000000"/>
          <w:sz w:val="32"/>
          <w:szCs w:val="32"/>
          <w:highlight w:val="none"/>
          <w:lang w:val="en-US" w:eastAsia="zh-CN" w:bidi="ar-SA"/>
        </w:rPr>
        <w:t>支持内容：支持企业在长春市各类展会中设立首发专区、专场，集中展示新产品新服务新技术。</w:t>
      </w:r>
    </w:p>
    <w:p w14:paraId="696B394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楷体" w:eastAsia="楷体" w:cs="仿宋"/>
          <w:sz w:val="32"/>
          <w:szCs w:val="32"/>
          <w:lang w:val="en-US" w:eastAsia="zh-CN"/>
        </w:rPr>
      </w:pPr>
      <w:r>
        <w:rPr>
          <w:rFonts w:hint="eastAsia" w:ascii="楷体" w:eastAsia="楷体" w:cs="仿宋"/>
          <w:sz w:val="32"/>
          <w:szCs w:val="32"/>
          <w:lang w:val="en-US" w:eastAsia="zh-CN"/>
        </w:rPr>
        <w:t>（二）</w:t>
      </w:r>
      <w:r>
        <w:rPr>
          <w:rFonts w:hint="eastAsia" w:ascii="楷体" w:eastAsia="楷体" w:cs="仿宋"/>
          <w:sz w:val="32"/>
          <w:szCs w:val="32"/>
          <w:lang w:val="en" w:eastAsia="zh-CN"/>
        </w:rPr>
        <w:t>创新多元化服务消费场景</w:t>
      </w:r>
    </w:p>
    <w:p w14:paraId="551E434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val="0"/>
        <w:snapToGrid w:val="0"/>
        <w:spacing w:line="560" w:lineRule="exact"/>
        <w:ind w:left="420" w:leftChars="200" w:firstLine="320" w:firstLineChars="1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5.支持打造商旅文体健融合的消费新场景</w:t>
      </w:r>
    </w:p>
    <w:p w14:paraId="43875EFB">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cs="仿宋_GB2312"/>
          <w:color w:val="000000"/>
          <w:kern w:val="2"/>
          <w:sz w:val="32"/>
          <w:szCs w:val="32"/>
          <w:highlight w:val="none"/>
          <w:lang w:val="en-US" w:eastAsia="zh-CN" w:bidi="ar-SA"/>
        </w:rPr>
      </w:pPr>
      <w:r>
        <w:rPr>
          <w:rFonts w:hint="eastAsia" w:ascii="仿宋_GB2312" w:eastAsia="仿宋_GB2312" w:cs="仿宋_GB2312"/>
          <w:color w:val="000000"/>
          <w:kern w:val="2"/>
          <w:sz w:val="32"/>
          <w:szCs w:val="32"/>
          <w:highlight w:val="none"/>
          <w:lang w:val="en-US" w:eastAsia="zh-CN" w:bidi="ar-SA"/>
        </w:rPr>
        <w:t>支持内容：支持业态创新、模式创新，支持企业在商业、文娱、旅游、健康、体育等领域引进人工智能、元宇宙等数字技术，打造沉浸式、体验式商文旅体健融合的消费新场景。</w:t>
      </w:r>
    </w:p>
    <w:p w14:paraId="4A194CE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6.支持服务消费集聚区建设</w:t>
      </w:r>
    </w:p>
    <w:p w14:paraId="6052A1FD">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仿宋_GB2312" w:eastAsia="仿宋_GB2312" w:cs="仿宋_GB2312"/>
          <w:color w:val="auto"/>
          <w:sz w:val="32"/>
          <w:szCs w:val="32"/>
          <w:lang w:val="en-US" w:eastAsia="zh-CN" w:bidi="ar-SA"/>
        </w:rPr>
        <w:t>支持内容：</w:t>
      </w:r>
      <w:r>
        <w:rPr>
          <w:rFonts w:ascii="Times New Roman" w:hAnsi="Times New Roman" w:eastAsia="仿宋_GB2312" w:cs="Times New Roman"/>
          <w:kern w:val="2"/>
          <w:sz w:val="32"/>
          <w:szCs w:val="32"/>
          <w:lang w:val="en-US" w:eastAsia="zh-CN" w:bidi="ar-SA"/>
        </w:rPr>
        <w:t>支持</w:t>
      </w:r>
      <w:r>
        <w:rPr>
          <w:rFonts w:hint="default" w:ascii="Times New Roman" w:hAnsi="Times New Roman" w:eastAsia="仿宋_GB2312" w:cs="Times New Roman"/>
          <w:kern w:val="2"/>
          <w:sz w:val="32"/>
          <w:szCs w:val="32"/>
          <w:lang w:val="en-US" w:eastAsia="zh-CN" w:bidi="ar-SA"/>
        </w:rPr>
        <w:t>重点商</w:t>
      </w:r>
      <w:r>
        <w:rPr>
          <w:rFonts w:hint="eastAsia" w:eastAsia="仿宋_GB2312" w:cs="Times New Roman"/>
          <w:kern w:val="2"/>
          <w:sz w:val="32"/>
          <w:szCs w:val="32"/>
          <w:lang w:val="en-US" w:eastAsia="zh-CN" w:bidi="ar-SA"/>
        </w:rPr>
        <w:t>业</w:t>
      </w:r>
      <w:r>
        <w:rPr>
          <w:rFonts w:hint="default" w:ascii="Times New Roman" w:hAnsi="Times New Roman" w:eastAsia="仿宋_GB2312" w:cs="Times New Roman"/>
          <w:kern w:val="2"/>
          <w:sz w:val="32"/>
          <w:szCs w:val="32"/>
          <w:lang w:val="en-US" w:eastAsia="zh-CN" w:bidi="ar-SA"/>
        </w:rPr>
        <w:t>街</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、文旅集聚区、商业综合体、会展场馆、传统商超和废旧工业厂区运营机构（企业）建设改造多元</w:t>
      </w:r>
      <w:r>
        <w:rPr>
          <w:rFonts w:hint="eastAsia" w:ascii="Times New Roman" w:hAnsi="Times New Roman" w:eastAsia="仿宋_GB2312" w:cs="Times New Roman"/>
          <w:kern w:val="2"/>
          <w:sz w:val="32"/>
          <w:szCs w:val="32"/>
          <w:lang w:val="en-US" w:eastAsia="zh-CN" w:bidi="ar-SA"/>
        </w:rPr>
        <w:t>化</w:t>
      </w:r>
      <w:r>
        <w:rPr>
          <w:rFonts w:hint="default" w:ascii="Times New Roman" w:hAnsi="Times New Roman" w:eastAsia="仿宋_GB2312" w:cs="Times New Roman"/>
          <w:kern w:val="2"/>
          <w:sz w:val="32"/>
          <w:szCs w:val="32"/>
          <w:lang w:val="en-US" w:eastAsia="zh-CN" w:bidi="ar-SA"/>
        </w:rPr>
        <w:t>消费场景，拓展增加文化时尚、健康体育、</w:t>
      </w:r>
      <w:r>
        <w:rPr>
          <w:rFonts w:hint="eastAsia" w:ascii="Times New Roman" w:hAnsi="Times New Roman" w:eastAsia="仿宋_GB2312" w:cs="Times New Roman"/>
          <w:kern w:val="2"/>
          <w:sz w:val="32"/>
          <w:szCs w:val="32"/>
          <w:lang w:val="en-US" w:eastAsia="zh-CN" w:bidi="ar-SA"/>
        </w:rPr>
        <w:t>艺术展览、</w:t>
      </w:r>
      <w:r>
        <w:rPr>
          <w:rFonts w:hint="default" w:ascii="Times New Roman" w:hAnsi="Times New Roman" w:eastAsia="仿宋_GB2312" w:cs="Times New Roman"/>
          <w:kern w:val="2"/>
          <w:sz w:val="32"/>
          <w:szCs w:val="32"/>
          <w:lang w:val="en-US" w:eastAsia="zh-CN" w:bidi="ar-SA"/>
        </w:rPr>
        <w:t>主题社交、</w:t>
      </w:r>
      <w:r>
        <w:rPr>
          <w:rFonts w:hint="eastAsia" w:ascii="Times New Roman" w:hAnsi="Times New Roman" w:eastAsia="仿宋_GB2312" w:cs="Times New Roman"/>
          <w:kern w:val="2"/>
          <w:sz w:val="32"/>
          <w:szCs w:val="32"/>
          <w:lang w:val="en-US" w:eastAsia="zh-CN" w:bidi="ar-SA"/>
        </w:rPr>
        <w:t>医疗康养、</w:t>
      </w:r>
      <w:r>
        <w:rPr>
          <w:rFonts w:hint="default" w:ascii="Times New Roman" w:hAnsi="Times New Roman" w:eastAsia="仿宋_GB2312" w:cs="Times New Roman"/>
          <w:kern w:val="2"/>
          <w:sz w:val="32"/>
          <w:szCs w:val="32"/>
          <w:lang w:val="en-US" w:eastAsia="zh-CN" w:bidi="ar-SA"/>
        </w:rPr>
        <w:t>休闲娱乐等服务消费功能。</w:t>
      </w:r>
    </w:p>
    <w:p w14:paraId="2356B10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7.支持重点赛事活动“进商圈、进街区、进景区”</w:t>
      </w:r>
    </w:p>
    <w:p w14:paraId="1A5C190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cs="仿宋_GB2312"/>
          <w:color w:val="000000"/>
          <w:sz w:val="32"/>
          <w:szCs w:val="32"/>
          <w:highlight w:val="none"/>
          <w:lang w:val="en-US" w:eastAsia="zh-CN" w:bidi="ar-SA"/>
        </w:rPr>
      </w:pPr>
      <w:r>
        <w:rPr>
          <w:rFonts w:hint="eastAsia" w:ascii="仿宋_GB2312" w:eastAsia="仿宋_GB2312" w:cs="仿宋_GB2312"/>
          <w:color w:val="auto"/>
          <w:sz w:val="32"/>
          <w:szCs w:val="32"/>
          <w:lang w:val="en-US" w:eastAsia="zh-CN" w:bidi="ar-SA"/>
        </w:rPr>
        <w:t>支持内容：支持将有</w:t>
      </w:r>
      <w:r>
        <w:rPr>
          <w:rFonts w:hint="eastAsia" w:ascii="仿宋_GB2312" w:eastAsia="仿宋_GB2312" w:cs="仿宋_GB2312"/>
          <w:sz w:val="32"/>
          <w:szCs w:val="32"/>
          <w:lang w:val="en" w:eastAsia="zh-CN" w:bidi="ar-SA"/>
        </w:rPr>
        <w:t>影响力的赛事、演出等活动，嵌入长春</w:t>
      </w:r>
      <w:r>
        <w:rPr>
          <w:rFonts w:hint="eastAsia" w:ascii="仿宋_GB2312" w:eastAsia="仿宋_GB2312" w:cs="仿宋_GB2312"/>
          <w:sz w:val="32"/>
          <w:szCs w:val="32"/>
          <w:lang w:val="en-US" w:eastAsia="zh-CN" w:bidi="ar-SA"/>
        </w:rPr>
        <w:t>市</w:t>
      </w:r>
      <w:r>
        <w:rPr>
          <w:rFonts w:hint="eastAsia" w:ascii="仿宋_GB2312" w:eastAsia="仿宋_GB2312" w:cs="仿宋_GB2312"/>
          <w:sz w:val="32"/>
          <w:szCs w:val="32"/>
          <w:lang w:val="en" w:eastAsia="zh-CN" w:bidi="ar-SA"/>
        </w:rPr>
        <w:t>核心商圈、特色街区、文旅景区等消费场景</w:t>
      </w:r>
      <w:r>
        <w:rPr>
          <w:rFonts w:hint="eastAsia" w:ascii="仿宋_GB2312" w:eastAsia="仿宋_GB2312"/>
          <w:sz w:val="32"/>
          <w:szCs w:val="32"/>
          <w:lang w:val="en-US" w:eastAsia="zh-CN"/>
        </w:rPr>
        <w:t>。</w:t>
      </w:r>
    </w:p>
    <w:p w14:paraId="20A279A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sz w:val="32"/>
          <w:szCs w:val="32"/>
          <w:lang w:bidi="ar-SA"/>
        </w:rPr>
      </w:pPr>
      <w:r>
        <w:rPr>
          <w:rFonts w:hint="eastAsia" w:ascii="仿宋_GB2312" w:eastAsia="仿宋_GB2312"/>
          <w:sz w:val="32"/>
          <w:szCs w:val="32"/>
          <w:lang w:bidi="ar-SA"/>
        </w:rPr>
        <w:t>8.支持“工业+”消费新场景</w:t>
      </w:r>
    </w:p>
    <w:p w14:paraId="0A402E25">
      <w:pPr>
        <w:keepNext w:val="0"/>
        <w:keepLines w:val="0"/>
        <w:pageBreakBefore w:val="0"/>
        <w:widowControl w:val="0"/>
        <w:kinsoku/>
        <w:wordWrap/>
        <w:overflowPunct/>
        <w:topLinePunct w:val="0"/>
        <w:autoSpaceDE/>
        <w:autoSpaceDN/>
        <w:bidi w:val="0"/>
        <w:snapToGrid/>
        <w:spacing w:line="560" w:lineRule="exact"/>
        <w:ind w:left="160" w:leftChars="76"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支持内容：支持生产企业开发观光工厂、科普基地、研学实践基地、主题文创园区等，打造“工业+文旅+商业”融合新场景。</w:t>
      </w:r>
    </w:p>
    <w:p w14:paraId="1223D907">
      <w:pPr>
        <w:keepNext w:val="0"/>
        <w:keepLines w:val="0"/>
        <w:pageBreakBefore w:val="0"/>
        <w:widowControl w:val="0"/>
        <w:kinsoku/>
        <w:wordWrap/>
        <w:overflowPunct/>
        <w:topLinePunct w:val="0"/>
        <w:autoSpaceDE/>
        <w:autoSpaceDN/>
        <w:bidi w:val="0"/>
        <w:snapToGrid/>
        <w:spacing w:line="560" w:lineRule="exact"/>
        <w:ind w:left="160" w:leftChars="76"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9.支持发展夜间经济</w:t>
      </w:r>
    </w:p>
    <w:p w14:paraId="5EBC4DC5">
      <w:pPr>
        <w:keepNext w:val="0"/>
        <w:keepLines w:val="0"/>
        <w:pageBreakBefore w:val="0"/>
        <w:widowControl w:val="0"/>
        <w:kinsoku/>
        <w:wordWrap/>
        <w:overflowPunct/>
        <w:topLinePunct w:val="0"/>
        <w:autoSpaceDE/>
        <w:autoSpaceDN/>
        <w:bidi w:val="0"/>
        <w:snapToGrid/>
        <w:spacing w:line="560" w:lineRule="exact"/>
        <w:ind w:left="160" w:leftChars="76" w:firstLine="640" w:firstLineChars="200"/>
        <w:jc w:val="both"/>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支持内容：以夜间消费为核心，聚焦商圈商街、文旅体育项目等载体，通过场景营造、设施完善、业态丰富，拓展消费空间、延长消费时间，打造夜间文化和旅游消费集聚区。</w:t>
      </w:r>
    </w:p>
    <w:p w14:paraId="409A928B">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10.支持</w:t>
      </w:r>
      <w:r>
        <w:rPr>
          <w:rFonts w:hint="eastAsia" w:ascii="仿宋_GB2312" w:eastAsia="仿宋_GB2312"/>
          <w:sz w:val="32"/>
          <w:szCs w:val="32"/>
          <w:highlight w:val="none"/>
          <w:lang w:bidi="ar-SA"/>
        </w:rPr>
        <w:t>培育服务消费新增长点</w:t>
      </w:r>
    </w:p>
    <w:p w14:paraId="60FCC3A6">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eastAsia="仿宋_GB2312"/>
          <w:sz w:val="32"/>
          <w:szCs w:val="32"/>
        </w:rPr>
        <w:t>支持内容：支持培育汽车后市场服务、旅居服务、</w:t>
      </w:r>
      <w:r>
        <w:rPr>
          <w:rFonts w:hint="eastAsia" w:eastAsia="仿宋_GB2312"/>
          <w:sz w:val="32"/>
          <w:szCs w:val="32"/>
          <w:highlight w:val="none"/>
        </w:rPr>
        <w:t>演出服</w:t>
      </w:r>
      <w:r>
        <w:rPr>
          <w:rFonts w:hint="eastAsia" w:eastAsia="仿宋_GB2312"/>
          <w:sz w:val="32"/>
          <w:szCs w:val="32"/>
          <w:highlight w:val="none"/>
          <w:lang w:val="en-US" w:eastAsia="zh-CN" w:bidi="ar-SA"/>
        </w:rPr>
        <w:t>务、</w:t>
      </w:r>
      <w:r>
        <w:rPr>
          <w:rFonts w:hint="eastAsia" w:eastAsia="仿宋_GB2312"/>
          <w:sz w:val="32"/>
          <w:szCs w:val="32"/>
        </w:rPr>
        <w:t>创新餐饮、住宿消费</w:t>
      </w:r>
      <w:r>
        <w:rPr>
          <w:rFonts w:hint="eastAsia" w:eastAsia="仿宋_GB2312"/>
          <w:sz w:val="32"/>
          <w:szCs w:val="32"/>
          <w:lang w:eastAsia="zh-CN"/>
        </w:rPr>
        <w:t>、</w:t>
      </w:r>
      <w:r>
        <w:rPr>
          <w:rFonts w:hint="eastAsia" w:eastAsia="仿宋_GB2312"/>
          <w:sz w:val="32"/>
          <w:szCs w:val="32"/>
        </w:rPr>
        <w:t>冰雪经济</w:t>
      </w:r>
      <w:r>
        <w:rPr>
          <w:rFonts w:hint="eastAsia" w:eastAsia="仿宋_GB2312"/>
          <w:sz w:val="32"/>
          <w:szCs w:val="32"/>
          <w:highlight w:val="none"/>
        </w:rPr>
        <w:t>（如室内滑雪场、冰雪主题乐园等）</w:t>
      </w:r>
      <w:r>
        <w:rPr>
          <w:rFonts w:hint="eastAsia" w:eastAsia="仿宋_GB2312"/>
          <w:sz w:val="32"/>
          <w:szCs w:val="32"/>
          <w:highlight w:val="none"/>
          <w:lang w:eastAsia="zh-CN"/>
        </w:rPr>
        <w:t>、</w:t>
      </w:r>
      <w:r>
        <w:rPr>
          <w:rFonts w:hint="eastAsia" w:eastAsia="仿宋_GB2312"/>
          <w:sz w:val="32"/>
          <w:szCs w:val="32"/>
        </w:rPr>
        <w:t>旅游列车</w:t>
      </w:r>
      <w:r>
        <w:rPr>
          <w:rFonts w:hint="eastAsia" w:eastAsia="仿宋_GB2312"/>
          <w:sz w:val="32"/>
          <w:szCs w:val="32"/>
          <w:lang w:val="en-US" w:eastAsia="zh-CN"/>
        </w:rPr>
        <w:t>等服务消费新增长点领域，发展</w:t>
      </w:r>
      <w:r>
        <w:rPr>
          <w:rFonts w:hint="eastAsia" w:eastAsia="仿宋_GB2312"/>
          <w:sz w:val="32"/>
          <w:szCs w:val="32"/>
        </w:rPr>
        <w:t>艺术展览、沉浸体验、数字艺术、</w:t>
      </w:r>
      <w:r>
        <w:rPr>
          <w:rFonts w:hint="eastAsia" w:eastAsia="仿宋_GB2312"/>
          <w:sz w:val="32"/>
          <w:szCs w:val="32"/>
          <w:highlight w:val="none"/>
        </w:rPr>
        <w:t>低空旅游</w:t>
      </w:r>
      <w:r>
        <w:rPr>
          <w:rFonts w:eastAsia="仿宋_GB2312"/>
          <w:sz w:val="32"/>
          <w:szCs w:val="32"/>
        </w:rPr>
        <w:t>、</w:t>
      </w:r>
      <w:r>
        <w:rPr>
          <w:rFonts w:hint="eastAsia" w:eastAsia="仿宋_GB2312"/>
          <w:sz w:val="32"/>
          <w:szCs w:val="32"/>
        </w:rPr>
        <w:t>房车露营等消费场景。</w:t>
      </w:r>
    </w:p>
    <w:p w14:paraId="45F49F92">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sz w:val="32"/>
          <w:szCs w:val="32"/>
          <w:lang w:val="en-US" w:eastAsia="zh-CN" w:bidi="ar-SA"/>
        </w:rPr>
        <w:t>11.支持“一老一小”消费场景</w:t>
      </w:r>
    </w:p>
    <w:p w14:paraId="462EB16D">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eastAsia="仿宋_GB2312" w:cs="Times New Roman"/>
          <w:sz w:val="32"/>
          <w:szCs w:val="32"/>
          <w:lang w:val="en-US" w:eastAsia="zh-CN" w:bidi="ar-SA"/>
        </w:rPr>
      </w:pPr>
      <w:r>
        <w:rPr>
          <w:rFonts w:hint="eastAsia" w:eastAsia="仿宋_GB2312" w:cs="Times New Roman"/>
          <w:sz w:val="32"/>
          <w:szCs w:val="32"/>
          <w:lang w:val="en-US" w:eastAsia="zh-CN" w:bidi="ar-SA"/>
        </w:rPr>
        <w:t>支持内容：聚焦老年人、儿童两类重点人群，</w:t>
      </w:r>
      <w:r>
        <w:rPr>
          <w:rFonts w:hint="default" w:eastAsia="仿宋_GB2312" w:cs="Times New Roman"/>
          <w:sz w:val="32"/>
          <w:szCs w:val="32"/>
          <w:lang w:val="en-US" w:eastAsia="zh-CN" w:bidi="ar-SA"/>
        </w:rPr>
        <w:t>支持企业在商业街区、商业综合体等</w:t>
      </w:r>
      <w:r>
        <w:rPr>
          <w:rFonts w:hint="eastAsia" w:eastAsia="仿宋_GB2312" w:cs="Times New Roman"/>
          <w:sz w:val="32"/>
          <w:szCs w:val="32"/>
          <w:lang w:val="en-US" w:eastAsia="zh-CN" w:bidi="ar-SA"/>
        </w:rPr>
        <w:t>场所</w:t>
      </w:r>
      <w:r>
        <w:rPr>
          <w:rFonts w:hint="default" w:eastAsia="仿宋_GB2312" w:cs="Times New Roman"/>
          <w:sz w:val="32"/>
          <w:szCs w:val="32"/>
          <w:lang w:val="en-US" w:eastAsia="zh-CN" w:bidi="ar-SA"/>
        </w:rPr>
        <w:t>打造</w:t>
      </w:r>
      <w:r>
        <w:rPr>
          <w:rFonts w:hint="eastAsia" w:eastAsia="仿宋_GB2312" w:cs="Times New Roman"/>
          <w:sz w:val="32"/>
          <w:szCs w:val="32"/>
          <w:lang w:val="en-US" w:eastAsia="zh-CN" w:bidi="ar-SA"/>
        </w:rPr>
        <w:t>银发金街、</w:t>
      </w:r>
      <w:r>
        <w:rPr>
          <w:rFonts w:hint="default" w:eastAsia="仿宋_GB2312" w:cs="Times New Roman"/>
          <w:sz w:val="32"/>
          <w:szCs w:val="32"/>
          <w:lang w:val="en-US" w:eastAsia="zh-CN" w:bidi="ar-SA"/>
        </w:rPr>
        <w:t>亲子娱乐</w:t>
      </w:r>
      <w:r>
        <w:rPr>
          <w:rFonts w:hint="eastAsia" w:eastAsia="仿宋_GB2312" w:cs="Times New Roman"/>
          <w:sz w:val="32"/>
          <w:szCs w:val="32"/>
          <w:lang w:val="en-US" w:eastAsia="zh-CN" w:bidi="ar-SA"/>
        </w:rPr>
        <w:t>、童趣乐园等专属消费场景。</w:t>
      </w:r>
    </w:p>
    <w:p w14:paraId="418D1A5A">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sz w:val="32"/>
          <w:szCs w:val="32"/>
          <w:lang w:val="en-US" w:eastAsia="zh-CN" w:bidi="ar-SA"/>
        </w:rPr>
        <w:t>12.支持家政服务创新发展</w:t>
      </w:r>
    </w:p>
    <w:p w14:paraId="062E96E6">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eastAsia="仿宋_GB2312" w:cs="Times New Roman"/>
          <w:sz w:val="32"/>
          <w:szCs w:val="32"/>
          <w:highlight w:val="none"/>
          <w:lang w:val="en-US" w:eastAsia="zh-CN" w:bidi="ar-SA"/>
        </w:rPr>
      </w:pPr>
      <w:r>
        <w:rPr>
          <w:rFonts w:hint="eastAsia" w:eastAsia="仿宋_GB2312" w:cs="Times New Roman"/>
          <w:sz w:val="32"/>
          <w:szCs w:val="32"/>
          <w:highlight w:val="none"/>
          <w:lang w:val="en-US" w:eastAsia="zh-CN" w:bidi="ar-SA"/>
        </w:rPr>
        <w:t>支持内容：</w:t>
      </w:r>
      <w:r>
        <w:rPr>
          <w:rFonts w:hint="default" w:eastAsia="仿宋_GB2312" w:cs="Times New Roman"/>
          <w:sz w:val="32"/>
          <w:szCs w:val="32"/>
          <w:highlight w:val="none"/>
          <w:lang w:val="en-US" w:eastAsia="zh-CN" w:bidi="ar-SA"/>
        </w:rPr>
        <w:t>支持家政服务企业</w:t>
      </w:r>
      <w:r>
        <w:rPr>
          <w:rFonts w:hint="eastAsia" w:eastAsia="仿宋_GB2312" w:cs="Times New Roman"/>
          <w:sz w:val="32"/>
          <w:szCs w:val="32"/>
          <w:highlight w:val="none"/>
          <w:lang w:val="en-US" w:eastAsia="zh-CN" w:bidi="ar-SA"/>
        </w:rPr>
        <w:t>通过技术赋能、业态融合、标准建设，打造家政融合服务模式</w:t>
      </w:r>
      <w:r>
        <w:rPr>
          <w:rFonts w:hint="default" w:eastAsia="仿宋_GB2312" w:cs="Times New Roman"/>
          <w:sz w:val="32"/>
          <w:szCs w:val="32"/>
          <w:highlight w:val="none"/>
          <w:lang w:val="en-US" w:eastAsia="zh-CN" w:bidi="ar-SA"/>
        </w:rPr>
        <w:t>，提供母婴护理、居家养老、家庭清洁等多元化服务项目</w:t>
      </w:r>
      <w:r>
        <w:rPr>
          <w:rFonts w:hint="eastAsia" w:eastAsia="仿宋_GB2312" w:cs="Times New Roman"/>
          <w:sz w:val="32"/>
          <w:szCs w:val="32"/>
          <w:highlight w:val="none"/>
          <w:lang w:val="en-US" w:eastAsia="zh-CN" w:bidi="ar-SA"/>
        </w:rPr>
        <w:t>，激发家政服务消费需求。</w:t>
      </w:r>
    </w:p>
    <w:p w14:paraId="46D101BE">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仿宋_GB2312" w:eastAsia="仿宋_GB2312"/>
          <w:sz w:val="32"/>
          <w:szCs w:val="32"/>
          <w:lang w:val="en-US" w:eastAsia="zh-CN"/>
        </w:rPr>
        <w:t>13.支持</w:t>
      </w:r>
      <w:r>
        <w:rPr>
          <w:rFonts w:hint="eastAsia" w:ascii="仿宋_GB2312" w:eastAsia="仿宋_GB2312"/>
          <w:sz w:val="32"/>
          <w:szCs w:val="32"/>
          <w:lang w:bidi="ar-SA"/>
        </w:rPr>
        <w:t>设立外贸优品展销专区</w:t>
      </w:r>
    </w:p>
    <w:p w14:paraId="38D358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color w:val="auto"/>
          <w:sz w:val="32"/>
          <w:szCs w:val="32"/>
          <w:lang w:val="en" w:eastAsia="zh-CN" w:bidi="ar-SA"/>
        </w:rPr>
      </w:pPr>
      <w:r>
        <w:rPr>
          <w:rFonts w:hint="eastAsia" w:ascii="仿宋_GB2312" w:eastAsia="仿宋_GB2312" w:cs="仿宋_GB2312"/>
          <w:color w:val="auto"/>
          <w:sz w:val="32"/>
          <w:szCs w:val="32"/>
          <w:lang w:val="en-US" w:eastAsia="zh-CN" w:bidi="ar-SA"/>
        </w:rPr>
        <w:t>支持内容：</w:t>
      </w:r>
      <w:r>
        <w:rPr>
          <w:rFonts w:hint="eastAsia" w:ascii="仿宋_GB2312" w:eastAsia="仿宋_GB2312" w:cs="仿宋_GB2312"/>
          <w:color w:val="auto"/>
          <w:sz w:val="32"/>
          <w:szCs w:val="32"/>
          <w:lang w:val="en" w:eastAsia="zh-CN" w:bidi="ar-SA"/>
        </w:rPr>
        <w:t>支持长春外贸优品展销中心、特色购物中心或购物区、外贸优品品牌集聚的特色商业街优化升级，推广自主品牌+直供直销，打造具有特色和吸引力的消费场景。</w:t>
      </w:r>
    </w:p>
    <w:p w14:paraId="2BC6D0C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楷体" w:eastAsia="楷体" w:cs="仿宋"/>
          <w:sz w:val="32"/>
          <w:szCs w:val="32"/>
          <w:lang w:val="en-US" w:eastAsia="zh-CN"/>
        </w:rPr>
      </w:pPr>
      <w:r>
        <w:rPr>
          <w:rFonts w:hint="eastAsia" w:ascii="楷体" w:eastAsia="楷体" w:cs="仿宋"/>
          <w:sz w:val="32"/>
          <w:szCs w:val="32"/>
          <w:lang w:val="en-US" w:eastAsia="zh-CN"/>
        </w:rPr>
        <w:t>（三）优质消费资源与知名IP跨界联名</w:t>
      </w:r>
    </w:p>
    <w:p w14:paraId="4E74FA6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Times New Roman"/>
          <w:kern w:val="2"/>
          <w:sz w:val="32"/>
          <w:szCs w:val="32"/>
          <w:lang w:val="en" w:eastAsia="zh-CN" w:bidi="ar-SA"/>
        </w:rPr>
      </w:pPr>
      <w:r>
        <w:rPr>
          <w:rFonts w:hint="eastAsia" w:ascii="仿宋_GB2312" w:eastAsia="仿宋_GB2312" w:cs="Times New Roman"/>
          <w:kern w:val="2"/>
          <w:sz w:val="32"/>
          <w:szCs w:val="32"/>
          <w:lang w:val="en-US" w:eastAsia="zh-CN" w:bidi="ar-SA"/>
        </w:rPr>
        <w:t>14</w:t>
      </w:r>
      <w:r>
        <w:rPr>
          <w:rFonts w:hint="eastAsia" w:ascii="仿宋_GB2312" w:eastAsia="仿宋_GB2312" w:cs="Times New Roman"/>
          <w:kern w:val="2"/>
          <w:sz w:val="32"/>
          <w:szCs w:val="32"/>
          <w:lang w:val="en" w:eastAsia="zh-CN" w:bidi="ar-SA"/>
        </w:rPr>
        <w:t>.支持联动知识产权（IP</w:t>
      </w:r>
      <w:r>
        <w:rPr>
          <w:rFonts w:hint="eastAsia" w:ascii="仿宋_GB2312" w:eastAsia="仿宋_GB2312" w:cs="Times New Roman"/>
          <w:kern w:val="2"/>
          <w:sz w:val="32"/>
          <w:szCs w:val="32"/>
          <w:lang w:val="en" w:eastAsia="en" w:bidi="ar-SA"/>
        </w:rPr>
        <w:t>）</w:t>
      </w:r>
      <w:r>
        <w:rPr>
          <w:rFonts w:hint="eastAsia" w:ascii="仿宋_GB2312" w:eastAsia="仿宋_GB2312" w:cs="Times New Roman"/>
          <w:kern w:val="2"/>
          <w:sz w:val="32"/>
          <w:szCs w:val="32"/>
          <w:lang w:val="en" w:eastAsia="zh-CN" w:bidi="ar-SA"/>
        </w:rPr>
        <w:t>开拓沉浸式消费空间</w:t>
      </w:r>
    </w:p>
    <w:p w14:paraId="2E1B96F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仿宋_GB2312"/>
          <w:color w:val="auto"/>
          <w:kern w:val="2"/>
          <w:sz w:val="32"/>
          <w:szCs w:val="32"/>
          <w:lang w:val="en-US" w:eastAsia="zh-CN" w:bidi="ar-SA"/>
        </w:rPr>
      </w:pPr>
      <w:r>
        <w:rPr>
          <w:rFonts w:hint="eastAsia" w:ascii="仿宋_GB2312" w:eastAsia="仿宋_GB2312" w:cs="仿宋_GB2312"/>
          <w:color w:val="auto"/>
          <w:kern w:val="2"/>
          <w:sz w:val="32"/>
          <w:szCs w:val="32"/>
          <w:lang w:val="en-US" w:eastAsia="zh-CN" w:bidi="ar-SA"/>
        </w:rPr>
        <w:t>支持内容：</w:t>
      </w:r>
      <w:r>
        <w:rPr>
          <w:rFonts w:hint="eastAsia" w:ascii="仿宋_GB2312" w:eastAsia="仿宋_GB2312" w:cs="仿宋_GB2312"/>
          <w:color w:val="auto"/>
          <w:kern w:val="2"/>
          <w:sz w:val="32"/>
          <w:szCs w:val="32"/>
          <w:lang w:val="en" w:eastAsia="zh-CN" w:bidi="ar-SA"/>
        </w:rPr>
        <w:t>支持依托互联网数字娱乐平台和知识产权（IP）孵化平台，打通设计、开发、生产、营销、推广全产业链，开发系列周边产品，开设主题店、概念店等沉浸式消费空间，激发优质资源消费潜力。</w:t>
      </w:r>
    </w:p>
    <w:p w14:paraId="39E3DA1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Times New Roman"/>
          <w:kern w:val="2"/>
          <w:sz w:val="32"/>
          <w:szCs w:val="32"/>
          <w:lang w:val="en" w:eastAsia="zh-CN" w:bidi="ar-SA"/>
        </w:rPr>
      </w:pPr>
      <w:r>
        <w:rPr>
          <w:rFonts w:hint="eastAsia" w:ascii="仿宋_GB2312" w:eastAsia="仿宋_GB2312" w:cs="Times New Roman"/>
          <w:kern w:val="2"/>
          <w:sz w:val="32"/>
          <w:szCs w:val="32"/>
          <w:lang w:val="en-US" w:eastAsia="zh-CN" w:bidi="ar-SA"/>
        </w:rPr>
        <w:t>15.</w:t>
      </w:r>
      <w:r>
        <w:rPr>
          <w:rFonts w:hint="eastAsia" w:ascii="仿宋_GB2312" w:eastAsia="仿宋_GB2312" w:cs="Times New Roman"/>
          <w:kern w:val="2"/>
          <w:sz w:val="32"/>
          <w:szCs w:val="32"/>
          <w:lang w:val="en" w:eastAsia="zh-CN" w:bidi="ar-SA"/>
        </w:rPr>
        <w:t>支持联动国潮动漫（IP）开发综合性消费场景</w:t>
      </w:r>
    </w:p>
    <w:p w14:paraId="76F80CC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支持内容：</w:t>
      </w:r>
      <w:r>
        <w:rPr>
          <w:rFonts w:hint="eastAsia" w:ascii="仿宋_GB2312" w:eastAsia="仿宋_GB2312" w:cs="仿宋_GB2312"/>
          <w:color w:val="auto"/>
          <w:sz w:val="32"/>
          <w:szCs w:val="32"/>
          <w:lang w:val="en" w:eastAsia="zh-CN" w:bidi="ar-SA"/>
        </w:rPr>
        <w:t>支持围绕本地特色文化，联动国潮动漫影视知识产权（IP）及文博场馆、非遗机构、历史文化名城等传统资源，推出一批影响范围广、社交属性强、创意新颖的综合性消费场景。</w:t>
      </w:r>
    </w:p>
    <w:p w14:paraId="120D947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仿宋_GB2312"/>
          <w:sz w:val="32"/>
          <w:szCs w:val="32"/>
          <w:lang w:val="en" w:eastAsia="zh-CN" w:bidi="ar-SA"/>
        </w:rPr>
      </w:pPr>
      <w:r>
        <w:rPr>
          <w:rFonts w:hint="eastAsia" w:ascii="仿宋_GB2312" w:eastAsia="仿宋_GB2312" w:cs="仿宋_GB2312"/>
          <w:kern w:val="2"/>
          <w:sz w:val="32"/>
          <w:szCs w:val="32"/>
          <w:lang w:val="en" w:eastAsia="zh-CN" w:bidi="ar-SA"/>
        </w:rPr>
        <w:t>16.</w:t>
      </w:r>
      <w:r>
        <w:rPr>
          <w:rFonts w:hint="eastAsia" w:ascii="仿宋_GB2312" w:eastAsia="仿宋_GB2312" w:cs="仿宋_GB2312"/>
          <w:sz w:val="32"/>
          <w:szCs w:val="32"/>
          <w:lang w:val="en" w:eastAsia="zh-CN" w:bidi="ar-SA"/>
        </w:rPr>
        <w:t>支持开发推出“老牌新品”“国货潮品”</w:t>
      </w:r>
    </w:p>
    <w:p w14:paraId="0D36ADE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val="0"/>
        <w:bidi w:val="0"/>
        <w:adjustRightInd/>
        <w:snapToGrid/>
        <w:spacing w:line="560" w:lineRule="exact"/>
        <w:ind w:left="0" w:firstLine="640" w:firstLineChars="200"/>
        <w:jc w:val="both"/>
        <w:textAlignment w:val="center"/>
        <w:rPr>
          <w:rFonts w:hint="eastAsia" w:ascii="仿宋_GB2312" w:eastAsia="仿宋_GB2312" w:cs="仿宋_GB2312"/>
          <w:sz w:val="32"/>
          <w:szCs w:val="32"/>
          <w:lang w:bidi="ar-SA"/>
        </w:rPr>
      </w:pPr>
      <w:r>
        <w:rPr>
          <w:rFonts w:hint="eastAsia" w:ascii="仿宋_GB2312" w:eastAsia="仿宋_GB2312" w:cs="仿宋_GB2312"/>
          <w:color w:val="auto"/>
          <w:sz w:val="32"/>
          <w:szCs w:val="32"/>
          <w:lang w:val="en-US" w:eastAsia="zh-CN" w:bidi="ar-SA"/>
        </w:rPr>
        <w:t>支持内容：</w:t>
      </w:r>
      <w:r>
        <w:rPr>
          <w:rFonts w:hint="eastAsia" w:ascii="仿宋_GB2312" w:eastAsia="仿宋_GB2312" w:cs="仿宋_GB2312"/>
          <w:color w:val="auto"/>
          <w:sz w:val="32"/>
          <w:szCs w:val="32"/>
          <w:lang w:val="en" w:eastAsia="zh-CN" w:bidi="ar-SA"/>
        </w:rPr>
        <w:t>支持老字号企业、新消费品牌企业依托长春优质消费资源，开设新店、旗舰店，开发推出“老牌新品”、“国货潮品”。</w:t>
      </w:r>
    </w:p>
    <w:p w14:paraId="52AB5C1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cs="仿宋_GB2312"/>
          <w:sz w:val="32"/>
          <w:szCs w:val="32"/>
          <w:lang w:val="en" w:eastAsia="zh-CN" w:bidi="ar-SA"/>
        </w:rPr>
      </w:pPr>
      <w:r>
        <w:rPr>
          <w:rFonts w:hint="eastAsia" w:ascii="仿宋_GB2312" w:eastAsia="仿宋_GB2312" w:cs="仿宋_GB2312"/>
          <w:sz w:val="32"/>
          <w:szCs w:val="32"/>
          <w:lang w:val="en-US" w:eastAsia="zh-CN" w:bidi="ar-SA"/>
        </w:rPr>
        <w:t>17</w:t>
      </w:r>
      <w:r>
        <w:rPr>
          <w:rFonts w:hint="eastAsia" w:ascii="仿宋_GB2312" w:eastAsia="仿宋_GB2312" w:cs="仿宋_GB2312"/>
          <w:sz w:val="32"/>
          <w:szCs w:val="32"/>
          <w:lang w:val="en" w:eastAsia="zh-CN" w:bidi="ar-SA"/>
        </w:rPr>
        <w:t>.支持“人工智能</w:t>
      </w: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val="en" w:eastAsia="zh-CN" w:bidi="ar-SA"/>
        </w:rPr>
        <w:t>消费”应用场景</w:t>
      </w:r>
    </w:p>
    <w:p w14:paraId="12A7821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eastAsia" w:ascii="仿宋_GB2312" w:eastAsia="仿宋_GB2312" w:cs="仿宋_GB2312"/>
          <w:color w:val="auto"/>
          <w:sz w:val="32"/>
          <w:szCs w:val="32"/>
          <w:lang w:val="en-US" w:eastAsia="zh-CN" w:bidi="ar-SA"/>
        </w:rPr>
      </w:pPr>
      <w:r>
        <w:rPr>
          <w:rFonts w:hint="eastAsia" w:ascii="仿宋_GB2312" w:eastAsia="仿宋_GB2312" w:cs="仿宋_GB2312"/>
          <w:color w:val="auto"/>
          <w:sz w:val="32"/>
          <w:szCs w:val="32"/>
          <w:lang w:val="en-US" w:eastAsia="zh-CN" w:bidi="ar-SA"/>
        </w:rPr>
        <w:t>支持内容：支持企业加快转型升级，培育一批新型消费龙头企业。打造“人工智能+消费”</w:t>
      </w:r>
      <w:r>
        <w:rPr>
          <w:rStyle w:val="9"/>
          <w:rFonts w:hint="eastAsia" w:ascii="仿宋_GB2312" w:hAnsi="仿宋_GB2312" w:eastAsia="仿宋_GB2312" w:cs="仿宋_GB2312"/>
          <w:b w:val="0"/>
          <w:bCs/>
          <w:color w:val="000000" w:themeColor="text1"/>
          <w:spacing w:val="8"/>
          <w:sz w:val="32"/>
          <w:szCs w:val="32"/>
          <w14:textFill>
            <w14:solidFill>
              <w14:schemeClr w14:val="tx1"/>
            </w14:solidFill>
          </w14:textFill>
        </w:rPr>
        <w:t>体验中心、展销中心等</w:t>
      </w:r>
      <w:r>
        <w:rPr>
          <w:rFonts w:hint="eastAsia" w:ascii="仿宋_GB2312" w:eastAsia="仿宋_GB2312" w:cs="仿宋_GB2312"/>
          <w:color w:val="auto"/>
          <w:sz w:val="32"/>
          <w:szCs w:val="32"/>
          <w:lang w:val="en-US" w:eastAsia="zh-CN" w:bidi="ar-SA"/>
        </w:rPr>
        <w:t>标杆场景。</w:t>
      </w:r>
    </w:p>
    <w:p w14:paraId="2D0E6D6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napToGrid w:val="0"/>
          <w:sz w:val="32"/>
          <w:szCs w:val="32"/>
          <w:lang w:eastAsia="zh-CN" w:bidi="ar-SA"/>
        </w:rPr>
      </w:pPr>
      <w:r>
        <w:rPr>
          <w:rFonts w:hint="eastAsia" w:ascii="楷体" w:eastAsia="楷体" w:cs="黑体"/>
          <w:sz w:val="32"/>
          <w:szCs w:val="32"/>
          <w:lang w:bidi="ar-SA"/>
        </w:rPr>
        <w:t>第</w:t>
      </w:r>
      <w:r>
        <w:rPr>
          <w:rFonts w:hint="eastAsia" w:ascii="楷体" w:eastAsia="楷体" w:cs="黑体"/>
          <w:sz w:val="32"/>
          <w:szCs w:val="32"/>
          <w:lang w:val="en-US" w:eastAsia="zh-CN" w:bidi="ar-SA"/>
        </w:rPr>
        <w:t>十</w:t>
      </w:r>
      <w:r>
        <w:rPr>
          <w:rFonts w:hint="eastAsia" w:ascii="楷体" w:eastAsia="楷体" w:cs="黑体"/>
          <w:sz w:val="32"/>
          <w:szCs w:val="32"/>
          <w:lang w:bidi="ar-SA"/>
        </w:rPr>
        <w:t>条</w:t>
      </w:r>
      <w:r>
        <w:rPr>
          <w:rFonts w:hint="eastAsia" w:ascii="楷体" w:eastAsia="楷体" w:cs="黑体"/>
          <w:sz w:val="32"/>
          <w:szCs w:val="32"/>
          <w:lang w:val="en-US" w:eastAsia="zh-CN" w:bidi="ar-SA"/>
        </w:rPr>
        <w:t xml:space="preserve"> </w:t>
      </w:r>
      <w:r>
        <w:rPr>
          <w:rFonts w:hint="eastAsia" w:ascii="仿宋_GB2312" w:eastAsia="仿宋_GB2312" w:cs="仿宋_GB2312"/>
          <w:snapToGrid w:val="0"/>
          <w:sz w:val="32"/>
          <w:szCs w:val="32"/>
          <w:lang w:eastAsia="zh-CN" w:bidi="ar-SA"/>
        </w:rPr>
        <w:t>不予支持的情形：</w:t>
      </w:r>
    </w:p>
    <w:p w14:paraId="17B3539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（一）平衡本级财政预算，支付罚款、赞助、偿还债务以及财政补助单位人员经费和工作经费等；</w:t>
      </w:r>
    </w:p>
    <w:p w14:paraId="6BDAFB1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（二）新建、扩建基础设施；</w:t>
      </w:r>
    </w:p>
    <w:p w14:paraId="795FCD9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（三）一般性装修；</w:t>
      </w:r>
    </w:p>
    <w:p w14:paraId="719351C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（四）新建商业综合体，以及各类古镇、纪念馆、博物馆等设施建设；</w:t>
      </w:r>
    </w:p>
    <w:p w14:paraId="1B71889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（五）政府部门主办、承办的活动，任何党政机关主办、承办或承担部分活动费用的展会、节庆、论坛活动；</w:t>
      </w:r>
    </w:p>
    <w:p w14:paraId="7705AD5D">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（六）土地开发、征地拆迁、建设政府性楼堂馆所等明令禁止的支出项目；</w:t>
      </w:r>
    </w:p>
    <w:p w14:paraId="791934E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（七）</w:t>
      </w:r>
      <w:r>
        <w:rPr>
          <w:rFonts w:hint="eastAsia" w:ascii="仿宋_GB2312" w:eastAsia="仿宋_GB2312" w:cs="仿宋_GB2312"/>
          <w:color w:val="000000"/>
          <w:sz w:val="32"/>
          <w:szCs w:val="32"/>
          <w:lang w:eastAsia="zh-CN" w:bidi="ar-SA"/>
        </w:rPr>
        <w:t>员工工资、</w:t>
      </w:r>
      <w:r>
        <w:rPr>
          <w:rFonts w:hint="eastAsia" w:ascii="仿宋_GB2312" w:eastAsia="仿宋_GB2312" w:cs="仿宋_GB2312"/>
          <w:sz w:val="32"/>
          <w:szCs w:val="32"/>
          <w:lang w:eastAsia="zh-CN" w:bidi="ar-SA"/>
        </w:rPr>
        <w:t>物业管理费、日常水电、公共设施维护等日常运营费用；</w:t>
      </w:r>
    </w:p>
    <w:p w14:paraId="63D9E15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（八）已享受中央基建投资和其他中央财政专项资金的项目不予支持；</w:t>
      </w:r>
    </w:p>
    <w:p w14:paraId="02E5B68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（九）事业单位信息系统建设维护、养老院和病房建设等与支持方向无关的领域；</w:t>
      </w:r>
    </w:p>
    <w:p w14:paraId="720B2582">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（十）其他不符合消费新业态新模式新场景试点</w:t>
      </w:r>
      <w:r>
        <w:rPr>
          <w:rFonts w:hint="eastAsia" w:ascii="仿宋_GB2312" w:eastAsia="仿宋_GB2312" w:cs="仿宋_GB2312"/>
          <w:sz w:val="32"/>
          <w:szCs w:val="32"/>
          <w:lang w:val="en-US" w:eastAsia="zh-CN" w:bidi="ar-SA"/>
        </w:rPr>
        <w:t>项目</w:t>
      </w:r>
      <w:r>
        <w:rPr>
          <w:rFonts w:hint="eastAsia" w:ascii="仿宋_GB2312" w:eastAsia="仿宋_GB2312" w:cs="仿宋_GB2312"/>
          <w:sz w:val="32"/>
          <w:szCs w:val="32"/>
          <w:lang w:eastAsia="zh-CN" w:bidi="ar-SA"/>
        </w:rPr>
        <w:t>要求的情况。</w:t>
      </w:r>
    </w:p>
    <w:p w14:paraId="772E028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（十一）健全首发经济服务体系方面：</w:t>
      </w:r>
    </w:p>
    <w:p w14:paraId="5635706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1.不支持存在同质化、缺乏实质创新的首店；</w:t>
      </w:r>
    </w:p>
    <w:p w14:paraId="58945BE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2.不支持侵犯知识产权或造成其他不良社会影响的首发项目；</w:t>
      </w:r>
    </w:p>
    <w:p w14:paraId="19C3AE1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3.项目应至少属于</w:t>
      </w:r>
      <w:r>
        <w:rPr>
          <w:rFonts w:hint="eastAsia" w:ascii="仿宋_GB2312" w:eastAsia="仿宋_GB2312" w:cs="仿宋_GB2312"/>
          <w:sz w:val="32"/>
          <w:szCs w:val="32"/>
          <w:lang w:val="en-US" w:eastAsia="zh-CN" w:bidi="ar-SA"/>
        </w:rPr>
        <w:t>长春市范围</w:t>
      </w:r>
      <w:r>
        <w:rPr>
          <w:rFonts w:hint="eastAsia" w:ascii="仿宋_GB2312" w:eastAsia="仿宋_GB2312" w:cs="仿宋_GB2312"/>
          <w:sz w:val="32"/>
          <w:szCs w:val="32"/>
          <w:lang w:eastAsia="zh-CN" w:bidi="ar-SA"/>
        </w:rPr>
        <w:t>内的首发，</w:t>
      </w:r>
      <w:r>
        <w:rPr>
          <w:rFonts w:hint="eastAsia" w:ascii="仿宋_GB2312" w:eastAsia="仿宋_GB2312" w:cs="仿宋_GB2312"/>
          <w:color w:val="1F2329"/>
          <w:spacing w:val="0"/>
          <w:sz w:val="32"/>
          <w:szCs w:val="32"/>
          <w:shd w:val="clear" w:color="auto" w:fill="FFFFFF"/>
          <w:lang w:val="en-US" w:eastAsia="zh-CN" w:bidi="ar-SA"/>
        </w:rPr>
        <w:t>各县（市）区</w:t>
      </w:r>
      <w:r>
        <w:rPr>
          <w:rFonts w:hint="eastAsia" w:ascii="仿宋_GB2312" w:eastAsia="仿宋_GB2312" w:cs="仿宋_GB2312"/>
          <w:sz w:val="32"/>
          <w:szCs w:val="32"/>
          <w:lang w:eastAsia="zh-CN" w:bidi="ar-SA"/>
        </w:rPr>
        <w:t>范围内的首发项目不予支持；</w:t>
      </w:r>
    </w:p>
    <w:p w14:paraId="4144463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4.拟支持项目应明确具体信息，不得简单以“开展首发活动”“引入首店”等作为项目名称。</w:t>
      </w:r>
    </w:p>
    <w:p w14:paraId="10ADDA8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方正楷体_GB2312"/>
          <w:sz w:val="32"/>
          <w:szCs w:val="32"/>
          <w:lang w:eastAsia="zh-CN" w:bidi="ar-SA"/>
        </w:rPr>
      </w:pPr>
      <w:r>
        <w:rPr>
          <w:rFonts w:hint="eastAsia" w:ascii="仿宋_GB2312" w:eastAsia="仿宋_GB2312" w:cs="方正楷体_GB2312"/>
          <w:sz w:val="32"/>
          <w:szCs w:val="32"/>
          <w:lang w:eastAsia="zh-CN" w:bidi="ar-SA"/>
        </w:rPr>
        <w:t>（十二）创新多元化服务消费场景方面：</w:t>
      </w:r>
    </w:p>
    <w:p w14:paraId="3F1445E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1.不支持政府或企业发放消费券、优惠补贴、宣传推广等投入，不支持政府举办的促消费活动、企业举办的促销推广活动；</w:t>
      </w:r>
    </w:p>
    <w:p w14:paraId="0F43228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2.不支持无消费内容或免费开放的项目；</w:t>
      </w:r>
    </w:p>
    <w:p w14:paraId="09D3655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3.不支持仅短期开展的活动或临时性搭建的消费场景（如一年举行1-2次的马拉松等赛事、群众性活动，存续时间少于1个月的消费场景，符合其他两个支持方向的项目除外）；</w:t>
      </w:r>
    </w:p>
    <w:p w14:paraId="6F2EEA6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4.不支持单纯商品消费的项目，如传统购物型超市、汽车加油或充电站等；</w:t>
      </w:r>
    </w:p>
    <w:p w14:paraId="32EBE0E0">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5.</w:t>
      </w:r>
      <w:r>
        <w:rPr>
          <w:rFonts w:hint="eastAsia" w:ascii="仿宋_GB2312" w:eastAsia="仿宋_GB2312" w:cs="仿宋_GB2312"/>
          <w:sz w:val="32"/>
          <w:szCs w:val="32"/>
          <w:lang w:bidi="ar-SA"/>
        </w:rPr>
        <w:t>项目应紧扣新消费新业态新模式新场景，突出创新、融合</w:t>
      </w:r>
      <w:r>
        <w:rPr>
          <w:rFonts w:hint="eastAsia" w:ascii="仿宋_GB2312" w:eastAsia="仿宋_GB2312" w:cs="仿宋_GB2312"/>
          <w:sz w:val="32"/>
          <w:szCs w:val="32"/>
          <w:lang w:eastAsia="zh-CN" w:bidi="ar-SA"/>
        </w:rPr>
        <w:t>，不支持单一传统业态的项目，如汽车4S店、传统模式汽车销售和维修场所、单一餐饮业态的餐馆等。</w:t>
      </w:r>
    </w:p>
    <w:p w14:paraId="1A49A35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方正楷体_GB2312"/>
          <w:sz w:val="32"/>
          <w:szCs w:val="32"/>
          <w:lang w:eastAsia="zh-CN" w:bidi="ar-SA"/>
        </w:rPr>
      </w:pPr>
      <w:r>
        <w:rPr>
          <w:rFonts w:hint="eastAsia" w:ascii="仿宋_GB2312" w:eastAsia="仿宋_GB2312" w:cs="方正楷体_GB2312"/>
          <w:sz w:val="32"/>
          <w:szCs w:val="32"/>
          <w:lang w:eastAsia="zh-CN" w:bidi="ar-SA"/>
        </w:rPr>
        <w:t>（十三）优质消费资源与知名IP跨界联名方面：</w:t>
      </w:r>
    </w:p>
    <w:p w14:paraId="693C26F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1.不支持与社会主义核心价值观不符的IP消费场景；</w:t>
      </w:r>
    </w:p>
    <w:p w14:paraId="19CDEB1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cs="仿宋_GB2312"/>
          <w:sz w:val="32"/>
          <w:szCs w:val="32"/>
          <w:lang w:eastAsia="zh-CN" w:bidi="ar-SA"/>
        </w:rPr>
        <w:t>2.不支持渲染负面或不良情绪的IP消费场景；</w:t>
      </w:r>
    </w:p>
    <w:p w14:paraId="565332A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pacing w:line="560" w:lineRule="exact"/>
        <w:ind w:left="0" w:firstLine="640" w:firstLineChars="200"/>
        <w:jc w:val="both"/>
        <w:textAlignment w:val="auto"/>
        <w:rPr>
          <w:rFonts w:hint="default" w:ascii="仿宋_GB2312" w:eastAsia="仿宋_GB2312" w:cs="仿宋_GB2312"/>
          <w:color w:val="auto"/>
          <w:sz w:val="32"/>
          <w:szCs w:val="32"/>
          <w:lang w:val="en-US" w:eastAsia="en" w:bidi="ar-SA"/>
        </w:rPr>
      </w:pPr>
      <w:r>
        <w:rPr>
          <w:rFonts w:hint="eastAsia" w:ascii="仿宋_GB2312" w:eastAsia="仿宋_GB2312" w:cs="仿宋_GB2312"/>
          <w:sz w:val="32"/>
          <w:szCs w:val="32"/>
          <w:lang w:eastAsia="zh-CN" w:bidi="ar-SA"/>
        </w:rPr>
        <w:t>3.不支持简单模仿、缺乏核心内涵等质量不高的IP消费场景；</w:t>
      </w:r>
    </w:p>
    <w:p w14:paraId="0225BD5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2560" w:firstLineChars="800"/>
        <w:jc w:val="both"/>
        <w:textAlignment w:val="auto"/>
        <w:rPr>
          <w:rFonts w:hint="eastAsia" w:ascii="黑体" w:eastAsia="黑体" w:cs="黑体"/>
          <w:b/>
          <w:sz w:val="32"/>
          <w:szCs w:val="32"/>
          <w:lang w:val="en-US" w:eastAsia="zh-CN"/>
        </w:rPr>
      </w:pPr>
      <w:r>
        <w:rPr>
          <w:rFonts w:ascii="黑体" w:eastAsia="黑体" w:cs="黑体"/>
          <w:color w:val="000000" w:themeColor="text1"/>
          <w:sz w:val="32"/>
          <w:szCs w:val="32"/>
          <w:lang w:val="en-US" w:eastAsia="zh-CN"/>
          <w14:textFill>
            <w14:solidFill>
              <w14:schemeClr w14:val="tx1"/>
            </w14:solidFill>
          </w14:textFill>
        </w:rPr>
        <w:t>第</w:t>
      </w:r>
      <w:r>
        <w:rPr>
          <w:rFonts w:hint="eastAsia" w:ascii="黑体" w:eastAsia="黑体" w:cs="黑体"/>
          <w:color w:val="000000" w:themeColor="text1"/>
          <w:sz w:val="32"/>
          <w:szCs w:val="32"/>
          <w:lang w:val="en-US" w:eastAsia="zh-CN"/>
          <w14:textFill>
            <w14:solidFill>
              <w14:schemeClr w14:val="tx1"/>
            </w14:solidFill>
          </w14:textFill>
        </w:rPr>
        <w:t>三</w:t>
      </w:r>
      <w:r>
        <w:rPr>
          <w:rFonts w:ascii="黑体" w:eastAsia="黑体" w:cs="黑体"/>
          <w:color w:val="000000" w:themeColor="text1"/>
          <w:sz w:val="32"/>
          <w:szCs w:val="32"/>
          <w:lang w:val="en-US" w:eastAsia="zh-CN"/>
          <w14:textFill>
            <w14:solidFill>
              <w14:schemeClr w14:val="tx1"/>
            </w14:solidFill>
          </w14:textFill>
        </w:rPr>
        <w:t xml:space="preserve">章 </w:t>
      </w:r>
      <w:r>
        <w:rPr>
          <w:rFonts w:hint="eastAsia" w:ascii="黑体" w:eastAsia="黑体" w:cs="黑体"/>
          <w:color w:val="000000" w:themeColor="text1"/>
          <w:sz w:val="32"/>
          <w:szCs w:val="32"/>
          <w:lang w:val="en-US" w:eastAsia="zh-CN"/>
          <w14:textFill>
            <w14:solidFill>
              <w14:schemeClr w14:val="tx1"/>
            </w14:solidFill>
          </w14:textFill>
        </w:rPr>
        <w:t xml:space="preserve"> 项目申报与评审</w:t>
      </w:r>
    </w:p>
    <w:p w14:paraId="734804F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sz w:val="32"/>
          <w:szCs w:val="32"/>
          <w:lang w:val="en-US" w:eastAsia="zh-CN"/>
        </w:rPr>
      </w:pPr>
      <w:bookmarkStart w:id="5" w:name="heading_16"/>
      <w:r>
        <w:rPr>
          <w:rFonts w:hint="eastAsia" w:ascii="楷体" w:eastAsia="楷体" w:cs="仿宋"/>
          <w:sz w:val="32"/>
          <w:szCs w:val="32"/>
          <w:lang w:val="en-US" w:eastAsia="zh-CN"/>
        </w:rPr>
        <w:t>第十一条 申报主体条件</w:t>
      </w:r>
      <w:bookmarkEnd w:id="5"/>
      <w:r>
        <w:rPr>
          <w:rFonts w:ascii="楷体" w:eastAsia="楷体" w:cs="仿宋"/>
          <w:sz w:val="32"/>
          <w:szCs w:val="32"/>
          <w:lang w:val="en-US" w:eastAsia="zh-CN"/>
        </w:rPr>
        <w:t>。</w:t>
      </w:r>
    </w:p>
    <w:p w14:paraId="623AFACF">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hAnsi="Times New Roman"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（一）依法进行登记注册，经营证照齐备有效，且具备承担项目实施能力的市场主体。</w:t>
      </w:r>
    </w:p>
    <w:p w14:paraId="4858F7C8">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2"/>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（二）依法经营、规范管理，财务制度、会计核算体系健全，经营状况、信用状况良好，未被国家、省、市有关部门列入严重失信主体、联合惩戒名单；</w:t>
      </w:r>
      <w:r>
        <w:rPr>
          <w:rFonts w:hint="eastAsia" w:ascii="仿宋_GB2312" w:eastAsia="仿宋_GB2312" w:cs="仿宋_GB2312"/>
          <w:sz w:val="32"/>
          <w:szCs w:val="32"/>
          <w:highlight w:val="none"/>
          <w:lang w:bidi="ar-SA"/>
        </w:rPr>
        <w:t>近三年无重大安全责任事故和严重违法乱纪案件</w:t>
      </w:r>
      <w:r>
        <w:rPr>
          <w:rFonts w:hint="eastAsia" w:ascii="仿宋_GB2312" w:eastAsia="仿宋_GB2312" w:cs="仿宋_GB2312"/>
          <w:sz w:val="32"/>
          <w:szCs w:val="32"/>
          <w:highlight w:val="none"/>
          <w:lang w:eastAsia="zh-CN" w:bidi="ar-SA"/>
        </w:rPr>
        <w:t>；</w:t>
      </w:r>
      <w:r>
        <w:rPr>
          <w:rFonts w:hint="eastAsia" w:ascii="仿宋_GB2312" w:eastAsia="仿宋_GB2312" w:cs="仿宋_GB2312"/>
          <w:sz w:val="32"/>
          <w:szCs w:val="32"/>
          <w:highlight w:val="none"/>
          <w:lang w:bidi="ar-SA"/>
        </w:rPr>
        <w:t>未被明确限制申请财政性资金项目；未拖欠应缴还的财政性资金；无正在进行有可能影响该单位正常经营活动的重大诉讼或者仲裁</w:t>
      </w:r>
      <w:r>
        <w:rPr>
          <w:rFonts w:hint="eastAsia" w:ascii="仿宋_GB2312" w:eastAsia="仿宋_GB2312" w:cs="仿宋_GB2312"/>
          <w:sz w:val="32"/>
          <w:szCs w:val="32"/>
          <w:highlight w:val="none"/>
          <w:lang w:eastAsia="zh-CN" w:bidi="ar-SA"/>
        </w:rPr>
        <w:t>。</w:t>
      </w:r>
    </w:p>
    <w:p w14:paraId="5D0D802E">
      <w:pPr>
        <w:pStyle w:val="11"/>
        <w:widowControl w:val="0"/>
        <w:numPr>
          <w:ilvl w:val="0"/>
          <w:numId w:val="0"/>
        </w:numPr>
        <w:pBdr>
          <w:top w:val="none" w:color="000000" w:sz="0" w:space="0"/>
          <w:left w:val="none" w:color="000000" w:sz="0" w:space="0"/>
          <w:bottom w:val="none" w:color="000000" w:sz="0" w:space="20"/>
          <w:right w:val="none" w:color="000000" w:sz="0" w:space="0"/>
        </w:pBdr>
        <w:tabs>
          <w:tab w:val="left" w:pos="0"/>
        </w:tabs>
        <w:spacing w:line="560" w:lineRule="exact"/>
        <w:ind w:firstLine="642"/>
        <w:jc w:val="both"/>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（三）申报单位不存在以同一项目或同一费用重复或多头申报的情形，不存在将本属于同一性质、内涵与建设内容的项目刻意分拆成多个项目的情形；</w:t>
      </w:r>
    </w:p>
    <w:p w14:paraId="3661B4F8">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color w:val="auto"/>
          <w:kern w:val="2"/>
          <w:sz w:val="32"/>
          <w:szCs w:val="32"/>
          <w:lang w:val="en-US" w:eastAsia="zh-CN" w:bidi="ar-SA"/>
        </w:rPr>
      </w:pPr>
      <w:r>
        <w:rPr>
          <w:rFonts w:hint="eastAsia" w:ascii="仿宋_GB2312" w:eastAsia="仿宋_GB2312" w:cs="仿宋"/>
          <w:kern w:val="2"/>
          <w:sz w:val="32"/>
          <w:szCs w:val="32"/>
          <w:lang w:val="en-US" w:eastAsia="zh-CN" w:bidi="ar-SA"/>
        </w:rPr>
        <w:t>（四）项目单位原则上应出具的依法纳税、</w:t>
      </w:r>
      <w:r>
        <w:rPr>
          <w:rFonts w:hint="eastAsia" w:ascii="仿宋_GB2312" w:eastAsia="仿宋_GB2312" w:cs="仿宋"/>
          <w:color w:val="auto"/>
          <w:kern w:val="2"/>
          <w:sz w:val="32"/>
          <w:szCs w:val="32"/>
          <w:lang w:val="en-US" w:eastAsia="zh-CN" w:bidi="ar-SA"/>
        </w:rPr>
        <w:t>缴纳社会保险费等证明（如依法免税或无需纳税的，提供相应证明材料）；</w:t>
      </w:r>
    </w:p>
    <w:p w14:paraId="7037835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color w:val="auto"/>
          <w:kern w:val="2"/>
          <w:sz w:val="32"/>
          <w:szCs w:val="32"/>
          <w:highlight w:val="none"/>
          <w:lang w:val="en-US" w:eastAsia="zh-CN" w:bidi="ar-SA"/>
        </w:rPr>
        <w:t>（五）愿意配合试点工作，建立工作台账，明确专人负责报送工作进展及相关数据，配合开展统计监测、行业预警、信息咨询、宣传培训、调度审查、绩效评价、监督检查、廉洁声明等工作，并提交《企业申报</w:t>
      </w:r>
      <w:r>
        <w:rPr>
          <w:rFonts w:hint="eastAsia" w:ascii="仿宋_GB2312" w:eastAsia="仿宋_GB2312" w:cs="仿宋"/>
          <w:kern w:val="2"/>
          <w:sz w:val="32"/>
          <w:szCs w:val="32"/>
          <w:highlight w:val="none"/>
          <w:lang w:val="en-US" w:eastAsia="zh-CN" w:bidi="ar-SA"/>
        </w:rPr>
        <w:t>项目相关内容承诺函》</w:t>
      </w:r>
      <w:bookmarkStart w:id="6" w:name="heading_17"/>
      <w:r>
        <w:rPr>
          <w:rFonts w:hint="eastAsia" w:ascii="仿宋_GB2312" w:eastAsia="仿宋_GB2312" w:cs="仿宋"/>
          <w:kern w:val="2"/>
          <w:sz w:val="32"/>
          <w:szCs w:val="32"/>
          <w:highlight w:val="none"/>
          <w:lang w:val="en-US" w:eastAsia="zh-CN" w:bidi="ar-SA"/>
        </w:rPr>
        <w:t>。</w:t>
      </w:r>
    </w:p>
    <w:p w14:paraId="6DE0120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eastAsia="楷体" w:cs="仿宋"/>
          <w:b w:val="0"/>
          <w:bCs w:val="0"/>
          <w:sz w:val="32"/>
          <w:szCs w:val="32"/>
          <w:lang w:val="en-US" w:eastAsia="zh-CN"/>
        </w:rPr>
      </w:pPr>
      <w:r>
        <w:rPr>
          <w:rFonts w:hint="eastAsia" w:ascii="楷体" w:eastAsia="楷体" w:cs="仿宋"/>
          <w:b w:val="0"/>
          <w:bCs w:val="0"/>
          <w:sz w:val="32"/>
          <w:szCs w:val="32"/>
          <w:lang w:val="en-US" w:eastAsia="zh-CN"/>
        </w:rPr>
        <w:t>第十二条 项目申报条件</w:t>
      </w:r>
      <w:bookmarkEnd w:id="6"/>
      <w:r>
        <w:rPr>
          <w:rFonts w:ascii="楷体" w:eastAsia="楷体" w:cs="仿宋"/>
          <w:b w:val="0"/>
          <w:bCs w:val="0"/>
          <w:sz w:val="32"/>
          <w:szCs w:val="32"/>
          <w:lang w:val="en-US" w:eastAsia="zh-CN"/>
        </w:rPr>
        <w:t>。</w:t>
      </w:r>
    </w:p>
    <w:p w14:paraId="272240C0">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项目主要服务地必须位于长春市，符合消费三新试点项目工作要求；</w:t>
      </w:r>
    </w:p>
    <w:p w14:paraId="10E4354E">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支持项目应为在建和待建项目，不支持2025年9月底前投入营业使用的项目，以及投入营业时间晚于2027年6月底的在建、待建项目；对于在建项目，仅支持政策发布后（2025年9月30日之后）发生的投资额。</w:t>
      </w:r>
    </w:p>
    <w:p w14:paraId="0388DC87">
      <w:pPr>
        <w:pStyle w:val="11"/>
        <w:widowControl w:val="0"/>
        <w:numPr>
          <w:ilvl w:val="0"/>
          <w:numId w:val="0"/>
        </w:numPr>
        <w:pBdr>
          <w:top w:val="none" w:color="000000" w:sz="0" w:space="0"/>
          <w:left w:val="none" w:color="000000" w:sz="0" w:space="0"/>
          <w:bottom w:val="none" w:color="000000" w:sz="0" w:space="20"/>
          <w:right w:val="none" w:color="000000" w:sz="0" w:space="0"/>
        </w:pBdr>
        <w:tabs>
          <w:tab w:val="left" w:pos="0"/>
        </w:tabs>
        <w:adjustRightInd w:val="0"/>
        <w:snapToGrid w:val="0"/>
        <w:spacing w:line="560" w:lineRule="exact"/>
        <w:ind w:firstLine="640" w:firstLineChars="200"/>
        <w:jc w:val="both"/>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有明确的实施方案、资金来源和合理的支出计划，绩效目标清晰、合理、可考核；</w:t>
      </w:r>
    </w:p>
    <w:p w14:paraId="53541D86">
      <w:pPr>
        <w:pStyle w:val="11"/>
        <w:widowControl w:val="0"/>
        <w:numPr>
          <w:ilvl w:val="0"/>
          <w:numId w:val="0"/>
        </w:numPr>
        <w:pBdr>
          <w:top w:val="none" w:color="000000" w:sz="0" w:space="0"/>
          <w:left w:val="none" w:color="000000" w:sz="0" w:space="0"/>
          <w:bottom w:val="none" w:color="000000" w:sz="0" w:space="20"/>
          <w:right w:val="none" w:color="000000" w:sz="0" w:space="0"/>
        </w:pBdr>
        <w:tabs>
          <w:tab w:val="left" w:pos="0"/>
        </w:tabs>
        <w:adjustRightInd w:val="0"/>
        <w:snapToGrid w:val="0"/>
        <w:spacing w:line="560" w:lineRule="exact"/>
        <w:ind w:firstLine="64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eastAsia="仿宋_GB2312" w:cs="仿宋"/>
          <w:kern w:val="2"/>
          <w:sz w:val="32"/>
          <w:szCs w:val="32"/>
          <w:lang w:val="en-US" w:eastAsia="zh-CN" w:bidi="ar-SA"/>
        </w:rPr>
        <w:t>（四）</w:t>
      </w:r>
      <w:r>
        <w:rPr>
          <w:rFonts w:ascii="仿宋_GB2312" w:hAnsi="宋体" w:eastAsia="仿宋_GB2312" w:cs="仿宋_GB2312"/>
          <w:color w:val="000000"/>
          <w:kern w:val="0"/>
          <w:sz w:val="31"/>
          <w:szCs w:val="31"/>
          <w:lang w:val="en-US" w:eastAsia="zh-CN" w:bidi="ar"/>
        </w:rPr>
        <w:t>申报项目如有土建内容的，应符合项目备案（核准）、</w:t>
      </w:r>
      <w:r>
        <w:rPr>
          <w:rFonts w:hint="eastAsia" w:ascii="仿宋_GB2312" w:hAnsi="宋体" w:eastAsia="仿宋_GB2312" w:cs="仿宋_GB2312"/>
          <w:color w:val="000000"/>
          <w:kern w:val="0"/>
          <w:sz w:val="31"/>
          <w:szCs w:val="31"/>
          <w:lang w:val="en-US" w:eastAsia="zh-CN" w:bidi="ar"/>
        </w:rPr>
        <w:t>环评、规划、土地、工程及建设等相关建设要求。项目涉及的土地、建设场所为租赁的，租赁期应覆盖项目建成期后两年，并提供房屋租赁合同和租赁场所真实有效的其他佐证材料</w:t>
      </w:r>
    </w:p>
    <w:p w14:paraId="6BE1F823">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w:t>
      </w:r>
      <w:r>
        <w:rPr>
          <w:rFonts w:hint="eastAsia" w:ascii="仿宋_GB2312" w:eastAsia="仿宋_GB2312" w:cs="仿宋"/>
          <w:kern w:val="2"/>
          <w:sz w:val="32"/>
          <w:szCs w:val="32"/>
          <w:lang w:val="en-US" w:eastAsia="zh-CN" w:bidi="ar-SA"/>
        </w:rPr>
        <w:t>五</w:t>
      </w:r>
      <w:r>
        <w:rPr>
          <w:rFonts w:hint="eastAsia" w:ascii="仿宋_GB2312" w:hAnsi="Times New Roman" w:eastAsia="仿宋_GB2312" w:cs="仿宋"/>
          <w:kern w:val="2"/>
          <w:sz w:val="32"/>
          <w:szCs w:val="32"/>
          <w:lang w:val="en-US" w:eastAsia="zh-CN" w:bidi="ar-SA"/>
        </w:rPr>
        <w:t>）</w:t>
      </w:r>
      <w:r>
        <w:rPr>
          <w:rFonts w:hint="eastAsia" w:ascii="仿宋_GB2312" w:eastAsia="仿宋_GB2312" w:cs="仿宋"/>
          <w:kern w:val="2"/>
          <w:sz w:val="32"/>
          <w:szCs w:val="32"/>
          <w:lang w:val="en-US" w:eastAsia="zh-CN" w:bidi="ar-SA"/>
        </w:rPr>
        <w:t>符合本办法规定的支持范围和具体支持条件，无禁止用途和不予支持情形。</w:t>
      </w:r>
    </w:p>
    <w:p w14:paraId="1A9A4AF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textAlignment w:val="auto"/>
        <w:rPr>
          <w:rFonts w:hint="eastAsia" w:ascii="楷体" w:eastAsia="楷体" w:cs="仿宋"/>
          <w:sz w:val="32"/>
          <w:szCs w:val="32"/>
          <w:highlight w:val="none"/>
        </w:rPr>
      </w:pPr>
      <w:bookmarkStart w:id="7" w:name="heading_18"/>
      <w:r>
        <w:rPr>
          <w:rFonts w:hint="eastAsia" w:ascii="楷体" w:eastAsia="楷体" w:cs="仿宋"/>
          <w:sz w:val="32"/>
          <w:szCs w:val="32"/>
          <w:lang w:val="en-US" w:eastAsia="zh-CN"/>
        </w:rPr>
        <w:t>第十三条 申报流程</w:t>
      </w:r>
      <w:bookmarkEnd w:id="7"/>
      <w:r>
        <w:rPr>
          <w:rFonts w:ascii="楷体" w:eastAsia="楷体" w:cs="仿宋"/>
          <w:sz w:val="32"/>
          <w:szCs w:val="32"/>
          <w:lang w:val="en-US" w:eastAsia="zh-CN"/>
        </w:rPr>
        <w:t>。</w:t>
      </w:r>
      <w:r>
        <w:rPr>
          <w:rFonts w:hint="eastAsia" w:ascii="仿宋_GB2312" w:eastAsia="仿宋_GB2312" w:cs="仿宋"/>
          <w:kern w:val="2"/>
          <w:sz w:val="32"/>
          <w:szCs w:val="32"/>
          <w:lang w:val="en-US" w:eastAsia="zh-CN" w:bidi="ar-SA"/>
        </w:rPr>
        <w:t>消费三新试点项目申报按照“企业申报、属地初审、市级复审、专家评审、公示备案”的流程实施，确保程序严谨、公开透明</w:t>
      </w:r>
      <w:r>
        <w:rPr>
          <w:rFonts w:hint="eastAsia" w:ascii="仿宋_GB2312" w:eastAsia="仿宋_GB2312" w:cs="仿宋"/>
          <w:kern w:val="2"/>
          <w:sz w:val="32"/>
          <w:szCs w:val="32"/>
          <w:highlight w:val="none"/>
          <w:lang w:val="en-US" w:eastAsia="zh-CN" w:bidi="ar-SA"/>
        </w:rPr>
        <w:t>（其中，首发中心、首发经济集聚区建设及首店、旗舰店、概念店培育项目，须按省级部门发布的相关政策进行申报）。</w:t>
      </w:r>
    </w:p>
    <w:p w14:paraId="0A02220F">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（一）</w:t>
      </w:r>
      <w:r>
        <w:rPr>
          <w:rFonts w:hint="eastAsia" w:ascii="仿宋_GB2312" w:eastAsia="仿宋_GB2312" w:cs="仿宋"/>
          <w:kern w:val="2"/>
          <w:sz w:val="32"/>
          <w:szCs w:val="32"/>
          <w:lang w:val="en-US" w:eastAsia="zh-CN" w:bidi="ar-SA"/>
        </w:rPr>
        <w:t>企业申报</w:t>
      </w:r>
    </w:p>
    <w:p w14:paraId="7735A72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仿宋_GB2312" w:eastAsia="仿宋_GB2312" w:cs="仿宋"/>
          <w:kern w:val="2"/>
          <w:sz w:val="32"/>
          <w:szCs w:val="32"/>
          <w:lang w:val="en-US" w:eastAsia="zh-CN" w:bidi="ar-SA"/>
        </w:rPr>
        <w:t>市商务局、市文广旅局、市体育局联合发布申报通知及申报指南，明确支持方向、申报条件、材料要求及时间节点等事项。申报单位严格按照要求准备申报材料，并向项目属地商务、文广旅、体育等对应主管部门提交申报申请。</w:t>
      </w:r>
    </w:p>
    <w:p w14:paraId="2EF6BA7E">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hAnsi="Times New Roman"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部门审核</w:t>
      </w:r>
    </w:p>
    <w:p w14:paraId="6CEBF7F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kern w:val="2"/>
          <w:sz w:val="32"/>
          <w:szCs w:val="32"/>
          <w:lang w:val="en-US" w:eastAsia="zh-CN" w:bidi="ar-SA"/>
        </w:rPr>
        <w:t>各属地商务</w:t>
      </w:r>
      <w:r>
        <w:rPr>
          <w:rFonts w:ascii="仿宋_GB2312" w:eastAsia="仿宋_GB2312" w:cs="仿宋"/>
          <w:kern w:val="2"/>
          <w:sz w:val="32"/>
          <w:szCs w:val="32"/>
          <w:lang w:val="en-US" w:eastAsia="zh-CN" w:bidi="ar-SA"/>
        </w:rPr>
        <w:t>主</w:t>
      </w:r>
      <w:r>
        <w:rPr>
          <w:rFonts w:hint="eastAsia" w:ascii="仿宋_GB2312" w:eastAsia="仿宋_GB2312" w:cs="仿宋"/>
          <w:kern w:val="2"/>
          <w:sz w:val="32"/>
          <w:szCs w:val="32"/>
          <w:lang w:val="en-US" w:eastAsia="zh-CN" w:bidi="ar-SA"/>
        </w:rPr>
        <w:t>管部门对申报项目材料的完整性、内容合规</w:t>
      </w:r>
      <w:r>
        <w:rPr>
          <w:rFonts w:hint="eastAsia" w:ascii="仿宋_GB2312" w:eastAsia="仿宋_GB2312" w:cs="仿宋"/>
          <w:sz w:val="32"/>
          <w:szCs w:val="32"/>
        </w:rPr>
        <w:t>性进行初审，并组织实地核查。坚持公平、公正、公开原则，对审核通过的项目出具加盖公章的书面推荐意见，报送至市商务局。需要申报至属地文广旅、体育</w:t>
      </w:r>
      <w:r>
        <w:rPr>
          <w:rFonts w:hint="eastAsia" w:ascii="仿宋_GB2312" w:eastAsia="仿宋_GB2312" w:cs="仿宋"/>
          <w:sz w:val="32"/>
          <w:szCs w:val="32"/>
          <w:lang w:val="en-US" w:eastAsia="zh-CN"/>
        </w:rPr>
        <w:t>等部门</w:t>
      </w:r>
      <w:r>
        <w:rPr>
          <w:rFonts w:hint="eastAsia" w:ascii="仿宋_GB2312" w:eastAsia="仿宋_GB2312" w:cs="仿宋"/>
          <w:sz w:val="32"/>
          <w:szCs w:val="32"/>
        </w:rPr>
        <w:t>的项目，由上述部门分别开展初审，审核通过后将申报材料及推荐表报送市级对应主管部门进行复审，复审通过后，由市级对应部门汇总报送至市商务局</w:t>
      </w:r>
      <w:r>
        <w:rPr>
          <w:rFonts w:hint="eastAsia" w:ascii="仿宋_GB2312" w:eastAsia="仿宋_GB2312" w:cs="仿宋"/>
          <w:sz w:val="32"/>
          <w:szCs w:val="32"/>
          <w:lang w:eastAsia="zh-CN"/>
        </w:rPr>
        <w:t>，建立储备</w:t>
      </w:r>
      <w:r>
        <w:rPr>
          <w:rFonts w:hint="eastAsia" w:ascii="仿宋_GB2312" w:eastAsia="仿宋_GB2312" w:cs="仿宋"/>
          <w:sz w:val="32"/>
          <w:szCs w:val="32"/>
          <w:lang w:val="en-US" w:eastAsia="zh-CN"/>
        </w:rPr>
        <w:t>项目</w:t>
      </w:r>
      <w:r>
        <w:rPr>
          <w:rFonts w:hint="eastAsia" w:ascii="仿宋_GB2312" w:eastAsia="仿宋_GB2312" w:cs="仿宋"/>
          <w:sz w:val="32"/>
          <w:szCs w:val="32"/>
          <w:lang w:eastAsia="zh-CN"/>
        </w:rPr>
        <w:t>库。</w:t>
      </w:r>
    </w:p>
    <w:p w14:paraId="6666091D">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hAnsi="Times New Roman" w:eastAsia="仿宋_GB2312" w:cs="仿宋"/>
          <w:kern w:val="2"/>
          <w:sz w:val="32"/>
          <w:szCs w:val="32"/>
          <w:lang w:val="en-US" w:eastAsia="zh-CN" w:bidi="ar-SA"/>
        </w:rPr>
        <w:t>（三）</w:t>
      </w:r>
      <w:r>
        <w:rPr>
          <w:rFonts w:hint="eastAsia" w:ascii="仿宋_GB2312" w:eastAsia="仿宋_GB2312" w:cs="仿宋"/>
          <w:sz w:val="32"/>
          <w:szCs w:val="32"/>
          <w:lang w:val="en-US" w:eastAsia="zh-CN" w:bidi="ar-SA"/>
        </w:rPr>
        <w:t>专家评审</w:t>
      </w:r>
    </w:p>
    <w:p w14:paraId="33D0486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eastAsia="仿宋_GB2312" w:cs="仿宋"/>
          <w:sz w:val="32"/>
          <w:szCs w:val="32"/>
          <w:lang w:val="en-US" w:eastAsia="zh-CN" w:bidi="ar-SA"/>
        </w:rPr>
        <w:t>市商务局委托独立第三方机构，根据</w:t>
      </w:r>
      <w:r>
        <w:rPr>
          <w:rFonts w:hint="eastAsia" w:ascii="仿宋_GB2312" w:eastAsia="仿宋_GB2312" w:cs="仿宋"/>
          <w:sz w:val="32"/>
          <w:szCs w:val="32"/>
          <w:highlight w:val="none"/>
          <w:lang w:val="en-US" w:eastAsia="zh-CN" w:bidi="ar-SA"/>
        </w:rPr>
        <w:t>消费三新试点项目总体进展情况</w:t>
      </w:r>
      <w:r>
        <w:rPr>
          <w:rFonts w:hint="eastAsia" w:ascii="仿宋_GB2312" w:eastAsia="仿宋_GB2312" w:cs="仿宋"/>
          <w:sz w:val="32"/>
          <w:szCs w:val="32"/>
          <w:lang w:val="en-US" w:eastAsia="zh-CN" w:bidi="ar-SA"/>
        </w:rPr>
        <w:t>组织相关技术、经济类专家组成评审小组，通过审核书面材料、现场踏查、企业答辩等方式，对项目进行入库评审，出具评审意见。</w:t>
      </w:r>
    </w:p>
    <w:p w14:paraId="387E5E69">
      <w:pPr>
        <w:pStyle w:val="11"/>
        <w:keepNext w:val="0"/>
        <w:keepLines w:val="0"/>
        <w:pageBreakBefore w:val="0"/>
        <w:widowControl w:val="0"/>
        <w:numPr>
          <w:ilvl w:val="0"/>
          <w:numId w:val="0"/>
        </w:numPr>
        <w:pBdr>
          <w:top w:val="none" w:color="000000" w:sz="0" w:space="0"/>
          <w:left w:val="none" w:color="000000" w:sz="0" w:space="0"/>
          <w:bottom w:val="none" w:color="000000" w:sz="0" w:space="20"/>
          <w:right w:val="none" w:color="000000" w:sz="0" w:space="0"/>
        </w:pBdr>
        <w:tabs>
          <w:tab w:val="left" w:pos="0"/>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hAnsi="Times New Roman" w:eastAsia="仿宋_GB2312" w:cs="仿宋"/>
          <w:kern w:val="2"/>
          <w:sz w:val="32"/>
          <w:szCs w:val="32"/>
          <w:lang w:val="en-US" w:eastAsia="zh-CN" w:bidi="ar-SA"/>
        </w:rPr>
        <w:t>（四）</w:t>
      </w:r>
      <w:r>
        <w:rPr>
          <w:rFonts w:hint="eastAsia" w:ascii="仿宋_GB2312" w:eastAsia="仿宋_GB2312" w:cs="仿宋"/>
          <w:sz w:val="32"/>
          <w:szCs w:val="32"/>
          <w:lang w:val="en-US" w:eastAsia="zh-CN" w:bidi="ar-SA"/>
        </w:rPr>
        <w:t>公示入库</w:t>
      </w:r>
    </w:p>
    <w:p w14:paraId="2BC764B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sz w:val="32"/>
          <w:szCs w:val="32"/>
          <w:lang w:val="en-US" w:eastAsia="zh-CN" w:bidi="ar-SA"/>
        </w:rPr>
      </w:pPr>
      <w:r>
        <w:rPr>
          <w:rFonts w:hint="eastAsia" w:ascii="仿宋_GB2312" w:eastAsia="仿宋_GB2312" w:cs="仿宋"/>
          <w:sz w:val="32"/>
          <w:szCs w:val="32"/>
          <w:lang w:val="en-US" w:eastAsia="zh-CN" w:bidi="ar-SA"/>
        </w:rPr>
        <w:t>根据评审意见确定拟支持项目库名单，在长春市人民政府官网“部门信息公开”专栏进行公示，</w:t>
      </w:r>
      <w:r>
        <w:rPr>
          <w:rFonts w:hint="eastAsia" w:ascii="仿宋_GB2312" w:eastAsia="仿宋_GB2312" w:cs="仿宋"/>
          <w:sz w:val="32"/>
          <w:szCs w:val="32"/>
          <w:highlight w:val="none"/>
          <w:lang w:val="en-US" w:eastAsia="zh-CN" w:bidi="ar-SA"/>
        </w:rPr>
        <w:t>公示期不少于7天。同时向长春市提振消费专班相关成员单位发送公示的工作函。</w:t>
      </w:r>
      <w:r>
        <w:rPr>
          <w:rFonts w:hint="eastAsia" w:ascii="仿宋_GB2312" w:eastAsia="仿宋_GB2312" w:cs="仿宋"/>
          <w:sz w:val="32"/>
          <w:szCs w:val="32"/>
          <w:lang w:val="en-US" w:eastAsia="zh-CN" w:bidi="ar-SA"/>
        </w:rPr>
        <w:t>公示期满无异议或异议不成立的，正式纳入拟支持项目库，并按规定报送备案。</w:t>
      </w:r>
    </w:p>
    <w:p w14:paraId="6B0EC90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第十四条 评审标准与要求</w:t>
      </w:r>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评审工作遵循公开、公平、公正、好中选优的原则，明确评审重点和标准，具体如下：</w:t>
      </w:r>
    </w:p>
    <w:p w14:paraId="0B37BB0F">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（一）评审重点包括消费三新试点项目的方向契合度，建设内容契合度，实施方案可行性，绩效目标可达性，申报主体资质及信用状况等；</w:t>
      </w:r>
    </w:p>
    <w:p w14:paraId="11F76CF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（二）评审专家实行回避制度，与申报单位存在利害关系的专家需主动回避；评审过程全程留痕，评审意见需明确具体、有据可依；</w:t>
      </w:r>
    </w:p>
    <w:p w14:paraId="3A01020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黑体" w:eastAsia="黑体" w:cs="黑体"/>
          <w:sz w:val="32"/>
          <w:szCs w:val="32"/>
          <w:lang w:val="en-US" w:eastAsia="zh-CN"/>
        </w:rPr>
      </w:pPr>
      <w:r>
        <w:rPr>
          <w:rFonts w:hint="eastAsia" w:ascii="仿宋_GB2312" w:eastAsia="仿宋_GB2312" w:cs="仿宋"/>
          <w:kern w:val="2"/>
          <w:sz w:val="32"/>
          <w:szCs w:val="32"/>
          <w:lang w:val="en-US" w:eastAsia="zh-CN" w:bidi="ar-SA"/>
        </w:rPr>
        <w:t>（三）独立第三方机构负责评审过程的组织和监督，确保评审工作的独立性和公正性，及时将评审结果报送至市商务局。</w:t>
      </w:r>
      <w:bookmarkStart w:id="8" w:name="heading_22"/>
    </w:p>
    <w:p w14:paraId="57814FE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jc w:val="center"/>
        <w:textAlignment w:val="auto"/>
        <w:rPr>
          <w:rFonts w:hint="eastAsia" w:ascii="楷体" w:eastAsia="楷体" w:cs="仿宋"/>
          <w:kern w:val="2"/>
          <w:sz w:val="32"/>
          <w:szCs w:val="32"/>
          <w:lang w:val="en-US" w:eastAsia="zh-CN" w:bidi="ar-SA"/>
        </w:rPr>
      </w:pPr>
      <w:r>
        <w:rPr>
          <w:rFonts w:ascii="黑体" w:eastAsia="黑体" w:cs="黑体"/>
          <w:sz w:val="32"/>
          <w:szCs w:val="32"/>
          <w:lang w:val="en-US" w:eastAsia="zh-CN"/>
        </w:rPr>
        <w:t>第</w:t>
      </w:r>
      <w:r>
        <w:rPr>
          <w:rFonts w:hint="eastAsia" w:ascii="黑体" w:eastAsia="黑体" w:cs="黑体"/>
          <w:sz w:val="32"/>
          <w:szCs w:val="32"/>
          <w:lang w:val="en-US" w:eastAsia="zh-CN"/>
        </w:rPr>
        <w:t>四</w:t>
      </w:r>
      <w:r>
        <w:rPr>
          <w:rFonts w:ascii="黑体" w:eastAsia="黑体" w:cs="黑体"/>
          <w:sz w:val="32"/>
          <w:szCs w:val="32"/>
          <w:lang w:val="en-US" w:eastAsia="zh-CN"/>
        </w:rPr>
        <w:t xml:space="preserve">章 </w:t>
      </w:r>
      <w:r>
        <w:rPr>
          <w:rFonts w:hint="eastAsia" w:ascii="黑体" w:eastAsia="黑体" w:cs="黑体"/>
          <w:sz w:val="32"/>
          <w:szCs w:val="32"/>
          <w:lang w:val="en-US" w:eastAsia="zh-CN"/>
        </w:rPr>
        <w:t xml:space="preserve"> 项目实施与管理</w:t>
      </w:r>
    </w:p>
    <w:p w14:paraId="122D419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第十五条 项目</w:t>
      </w:r>
      <w:bookmarkEnd w:id="8"/>
      <w:r>
        <w:rPr>
          <w:rFonts w:hint="eastAsia" w:ascii="楷体" w:eastAsia="楷体" w:cs="仿宋"/>
          <w:kern w:val="2"/>
          <w:sz w:val="32"/>
          <w:szCs w:val="32"/>
          <w:lang w:val="en-US" w:eastAsia="zh-CN" w:bidi="ar-SA"/>
        </w:rPr>
        <w:t>协议签订</w:t>
      </w:r>
      <w:r>
        <w:rPr>
          <w:rFonts w:ascii="楷体" w:eastAsia="楷体" w:cs="仿宋"/>
          <w:kern w:val="2"/>
          <w:sz w:val="32"/>
          <w:szCs w:val="32"/>
          <w:lang w:val="en-US" w:eastAsia="zh-CN" w:bidi="ar-SA"/>
        </w:rPr>
        <w:t>。</w:t>
      </w:r>
      <w:bookmarkStart w:id="9" w:name="heading_23"/>
      <w:r>
        <w:rPr>
          <w:rFonts w:hint="eastAsia" w:ascii="仿宋_GB2312" w:eastAsia="仿宋_GB2312" w:cs="仿宋"/>
          <w:kern w:val="2"/>
          <w:sz w:val="32"/>
          <w:szCs w:val="32"/>
          <w:lang w:val="en-US" w:eastAsia="zh-CN" w:bidi="ar-SA"/>
        </w:rPr>
        <w:t>纳入拟支持项目库的项目，项目单位须与市商务局签订专项资金补助协议。协议应明确主体资格、权利义务、资金监管、违约责任及争议解决机制等内容。</w:t>
      </w:r>
    </w:p>
    <w:p w14:paraId="08A5024D">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第十六条 项目实施要求</w:t>
      </w:r>
      <w:bookmarkEnd w:id="9"/>
      <w:r>
        <w:rPr>
          <w:rFonts w:ascii="楷体" w:eastAsia="楷体" w:cs="仿宋"/>
          <w:kern w:val="2"/>
          <w:sz w:val="32"/>
          <w:szCs w:val="32"/>
          <w:lang w:val="en-US" w:eastAsia="zh-CN" w:bidi="ar-SA"/>
        </w:rPr>
        <w:t>。</w:t>
      </w:r>
    </w:p>
    <w:p w14:paraId="6C9328D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（一）项目单位需严格按照项目申报书内容和补助协议推进项目建设，按期完成建设任务和绩效目标，不得擅自改变项目建设内容、投资规模、建设地点等；</w:t>
      </w:r>
    </w:p>
    <w:p w14:paraId="0BE4038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（二）采取阶段验收的项目，在实施过程中应建立健全项目管理制度并完善工作台账，详细记录项目建设进度、资金使用状况、绩效目标完成情况等，确保资金使用合规，项目建设规范有序。</w:t>
      </w:r>
    </w:p>
    <w:p w14:paraId="6CDF3C6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（三）项目单位应积极配合各级主管部门、独立第三方机构组织开展的进度检查、中期评估、现场核查等工作，并及时提供相关文件与资料。</w:t>
      </w:r>
      <w:bookmarkStart w:id="10" w:name="heading_24"/>
    </w:p>
    <w:p w14:paraId="2BCFBE1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第十七条 项目变更、终止与撤销</w:t>
      </w:r>
      <w:bookmarkEnd w:id="10"/>
      <w:r>
        <w:rPr>
          <w:rFonts w:ascii="楷体" w:eastAsia="楷体" w:cs="仿宋"/>
          <w:kern w:val="2"/>
          <w:sz w:val="32"/>
          <w:szCs w:val="32"/>
          <w:lang w:val="en-US" w:eastAsia="zh-CN" w:bidi="ar-SA"/>
        </w:rPr>
        <w:t>。</w:t>
      </w:r>
    </w:p>
    <w:p w14:paraId="2347D29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一）项目变更：项目单位应严格按照申报书所确定的投资规模、建设周期及建设内容组织实施项目。原则上不得自行调整，确需调整的，由项目单位向独立第三方机构提出申请，独立第三方机构对申请内容进行核查，并向行业主管部门提出调整意见。市商务局将调整意见汇总后，下达项目变更文件。</w:t>
      </w:r>
    </w:p>
    <w:p w14:paraId="6E08DBA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（二）项目终止与撤销：项目出现下列情形之一的，经市商务局、市文广旅局、市体育局核实确认后，终止其试点资格，撤销资金补助，依据本办法追缴已拨付资金，强化风险处置：</w:t>
      </w:r>
    </w:p>
    <w:p w14:paraId="19CFC2D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1.因不可抗力或市场发生重大变化导致项目无法继续实施的；</w:t>
      </w:r>
    </w:p>
    <w:p w14:paraId="5932F80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2.</w:t>
      </w:r>
      <w:r>
        <w:rPr>
          <w:rFonts w:hint="eastAsia" w:ascii="仿宋_GB2312" w:eastAsia="仿宋_GB2312" w:cs="仿宋"/>
          <w:kern w:val="2"/>
          <w:sz w:val="32"/>
          <w:szCs w:val="32"/>
          <w:lang w:val="en-US" w:eastAsia="zh-CN" w:bidi="ar-SA"/>
        </w:rPr>
        <w:t>擅自改变主要建设内容、投资额和绩效目标，且未按要求整改的；</w:t>
      </w:r>
    </w:p>
    <w:p w14:paraId="4BE1380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3.</w:t>
      </w:r>
      <w:r>
        <w:rPr>
          <w:rFonts w:hint="eastAsia" w:ascii="仿宋_GB2312" w:eastAsia="仿宋_GB2312" w:cs="仿宋"/>
          <w:kern w:val="2"/>
          <w:sz w:val="32"/>
          <w:szCs w:val="32"/>
          <w:lang w:val="en-US" w:eastAsia="zh-CN" w:bidi="ar-SA"/>
        </w:rPr>
        <w:t>项目建设进度严重滞后，整改通知书下达3个月后仍未按要求整改的；</w:t>
      </w:r>
    </w:p>
    <w:p w14:paraId="463D610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4.拒不提供《企业申报项目相关内容承诺函》的；</w:t>
      </w:r>
    </w:p>
    <w:p w14:paraId="2E3C26A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5.项目单位主动申请退出的；</w:t>
      </w:r>
    </w:p>
    <w:p w14:paraId="2A33E93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6.项目建设完成后，两次验收仍不合格的；</w:t>
      </w:r>
    </w:p>
    <w:p w14:paraId="3CF290E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7.项目出现撤项、烂尾等情形的；</w:t>
      </w:r>
    </w:p>
    <w:p w14:paraId="08F5C6D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8.建设内容、建设主体出现重大负面变更，不符合试点要求的；</w:t>
      </w:r>
    </w:p>
    <w:p w14:paraId="77E5B78E">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9.项目单位存在严重违法违规行为或重大失信行为的；</w:t>
      </w:r>
    </w:p>
    <w:p w14:paraId="56C68E9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10.其他违反本办法规定和相关法律法规的情形。</w:t>
      </w:r>
      <w:bookmarkStart w:id="11" w:name="heading_25"/>
    </w:p>
    <w:bookmarkEnd w:id="11"/>
    <w:p w14:paraId="1F20160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bookmarkStart w:id="12" w:name="heading_26"/>
      <w:r>
        <w:rPr>
          <w:rFonts w:hint="eastAsia" w:ascii="楷体" w:eastAsia="楷体" w:cs="仿宋"/>
          <w:kern w:val="2"/>
          <w:sz w:val="32"/>
          <w:szCs w:val="32"/>
          <w:lang w:val="en-US" w:eastAsia="zh-CN" w:bidi="ar-SA"/>
        </w:rPr>
        <w:t>第十八条 项目递补</w:t>
      </w:r>
      <w:bookmarkEnd w:id="12"/>
      <w:r>
        <w:rPr>
          <w:rFonts w:ascii="楷体" w:eastAsia="楷体" w:cs="仿宋"/>
          <w:kern w:val="2"/>
          <w:sz w:val="32"/>
          <w:szCs w:val="32"/>
          <w:lang w:val="en-US" w:eastAsia="zh-CN" w:bidi="ar-SA"/>
        </w:rPr>
        <w:t>。</w:t>
      </w:r>
    </w:p>
    <w:p w14:paraId="5D1C2C0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在消费三新试点项目实施期间，若拟支持的项目被终止或撤销，</w:t>
      </w:r>
      <w:r>
        <w:rPr>
          <w:rFonts w:hint="eastAsia" w:ascii="仿宋_GB2312" w:eastAsia="仿宋_GB2312" w:cs="仿宋"/>
          <w:kern w:val="2"/>
          <w:sz w:val="32"/>
          <w:szCs w:val="32"/>
          <w:highlight w:val="none"/>
          <w:lang w:val="en-US" w:eastAsia="zh-CN" w:bidi="ar-SA"/>
        </w:rPr>
        <w:t>市商务局、市文广旅局、市体育局可依照相关规定启动项目递补机制。递补项目应优先从试点储备项目库中进行择优遴选；若确因储备项目无法满足递补需求，市商务局、市文广旅局、市体育局可结合实际情况另行组织公开</w:t>
      </w:r>
      <w:r>
        <w:rPr>
          <w:rFonts w:hint="eastAsia" w:ascii="仿宋_GB2312" w:eastAsia="仿宋_GB2312" w:cs="仿宋"/>
          <w:kern w:val="2"/>
          <w:sz w:val="32"/>
          <w:szCs w:val="32"/>
          <w:lang w:val="en-US" w:eastAsia="zh-CN" w:bidi="ar-SA"/>
        </w:rPr>
        <w:t>申报，并严格履行评审程序后择优确定递补项目。</w:t>
      </w:r>
      <w:bookmarkStart w:id="13" w:name="heading_28"/>
    </w:p>
    <w:p w14:paraId="0B3DC21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jc w:val="center"/>
        <w:textAlignment w:val="auto"/>
        <w:rPr>
          <w:rFonts w:hint="eastAsia" w:ascii="黑体" w:eastAsia="黑体" w:cs="黑体"/>
          <w:kern w:val="2"/>
          <w:sz w:val="32"/>
          <w:szCs w:val="32"/>
          <w:lang w:val="en-US" w:eastAsia="zh-CN" w:bidi="ar-SA"/>
        </w:rPr>
      </w:pPr>
      <w:r>
        <w:rPr>
          <w:rFonts w:hint="eastAsia" w:ascii="黑体" w:eastAsia="黑体" w:cs="黑体"/>
          <w:kern w:val="2"/>
          <w:sz w:val="32"/>
          <w:szCs w:val="32"/>
          <w:lang w:val="en-US" w:eastAsia="zh-CN" w:bidi="ar-SA"/>
        </w:rPr>
        <w:t>第五章  项目验收</w:t>
      </w:r>
      <w:bookmarkEnd w:id="13"/>
      <w:bookmarkStart w:id="14" w:name="heading_29"/>
    </w:p>
    <w:p w14:paraId="7006A6BC">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第十九条 验收方式</w:t>
      </w:r>
      <w:bookmarkEnd w:id="14"/>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项目验收工作采取阶段性验收和终期验收相结合的方式，市商务局会同</w:t>
      </w:r>
      <w:r>
        <w:rPr>
          <w:rFonts w:hint="eastAsia" w:ascii="仿宋_GB2312" w:eastAsia="仿宋_GB2312" w:cs="仿宋"/>
          <w:kern w:val="2"/>
          <w:sz w:val="32"/>
          <w:szCs w:val="32"/>
          <w:highlight w:val="none"/>
          <w:lang w:val="en-US" w:eastAsia="zh-CN" w:bidi="ar-SA"/>
        </w:rPr>
        <w:t>市文广旅局、市体育局</w:t>
      </w:r>
      <w:r>
        <w:rPr>
          <w:rFonts w:hint="eastAsia" w:ascii="仿宋_GB2312" w:eastAsia="仿宋_GB2312" w:cs="仿宋"/>
          <w:sz w:val="32"/>
          <w:szCs w:val="32"/>
          <w:lang w:val="en-US" w:eastAsia="zh-CN"/>
        </w:rPr>
        <w:t>组织实施，</w:t>
      </w:r>
      <w:r>
        <w:rPr>
          <w:rFonts w:hint="eastAsia" w:ascii="仿宋_GB2312" w:eastAsia="仿宋_GB2312" w:cs="仿宋"/>
          <w:kern w:val="2"/>
          <w:sz w:val="32"/>
          <w:szCs w:val="32"/>
          <w:lang w:val="en-US" w:eastAsia="zh-CN" w:bidi="ar-SA"/>
        </w:rPr>
        <w:t>并委托独立第三方机构具体开展，以确保验收程序规范、结果公正</w:t>
      </w:r>
      <w:r>
        <w:rPr>
          <w:rFonts w:hint="eastAsia" w:ascii="仿宋_GB2312" w:eastAsia="仿宋_GB2312" w:cs="仿宋_GB2312"/>
          <w:color w:val="auto"/>
          <w:sz w:val="32"/>
          <w:szCs w:val="32"/>
          <w:highlight w:val="none"/>
          <w:lang w:val="en-US" w:eastAsia="zh-CN" w:bidi="ar-SA"/>
        </w:rPr>
        <w:t>。</w:t>
      </w:r>
    </w:p>
    <w:p w14:paraId="6BB42FD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bCs/>
          <w:kern w:val="2"/>
          <w:sz w:val="32"/>
          <w:szCs w:val="32"/>
          <w:lang w:val="en-US" w:eastAsia="zh-CN" w:bidi="ar-SA"/>
        </w:rPr>
      </w:pPr>
      <w:r>
        <w:rPr>
          <w:rFonts w:hint="eastAsia" w:ascii="楷体" w:eastAsia="楷体" w:cs="仿宋"/>
          <w:kern w:val="2"/>
          <w:sz w:val="32"/>
          <w:szCs w:val="32"/>
          <w:lang w:val="en-US" w:eastAsia="zh-CN" w:bidi="ar-SA"/>
        </w:rPr>
        <w:t>第二十条</w:t>
      </w:r>
      <w:r>
        <w:rPr>
          <w:rFonts w:ascii="楷体" w:eastAsia="楷体" w:cs="仿宋"/>
          <w:kern w:val="2"/>
          <w:sz w:val="32"/>
          <w:szCs w:val="32"/>
          <w:lang w:val="en-US" w:eastAsia="zh-CN" w:bidi="ar-SA"/>
        </w:rPr>
        <w:t xml:space="preserve"> </w:t>
      </w:r>
      <w:r>
        <w:rPr>
          <w:rFonts w:hint="eastAsia" w:ascii="楷体" w:eastAsia="楷体" w:cs="仿宋"/>
          <w:bCs/>
          <w:kern w:val="2"/>
          <w:sz w:val="32"/>
          <w:szCs w:val="32"/>
          <w:lang w:val="en-US" w:eastAsia="zh-CN" w:bidi="ar-SA"/>
        </w:rPr>
        <w:t>验收条件</w:t>
      </w:r>
      <w:r>
        <w:rPr>
          <w:rFonts w:ascii="楷体" w:eastAsia="楷体" w:cs="仿宋"/>
          <w:bCs/>
          <w:kern w:val="2"/>
          <w:sz w:val="32"/>
          <w:szCs w:val="32"/>
          <w:lang w:val="en-US" w:eastAsia="zh-CN" w:bidi="ar-SA"/>
        </w:rPr>
        <w:t>。</w:t>
      </w:r>
    </w:p>
    <w:p w14:paraId="01E811E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
          <w:kern w:val="2"/>
          <w:sz w:val="32"/>
          <w:szCs w:val="32"/>
          <w:lang w:val="en-US" w:eastAsia="zh-CN" w:bidi="ar-SA"/>
        </w:rPr>
        <w:t>（一）阶段性验收：根据消费三新试点项目总体进展情况，对</w:t>
      </w:r>
      <w:r>
        <w:rPr>
          <w:rFonts w:hint="eastAsia" w:ascii="仿宋_GB2312" w:eastAsia="仿宋_GB2312" w:cs="仿宋_GB2312"/>
          <w:sz w:val="32"/>
          <w:szCs w:val="32"/>
        </w:rPr>
        <w:t>信誉和经营状况良好、进展顺利、管理规范的在建</w:t>
      </w:r>
      <w:r>
        <w:rPr>
          <w:rFonts w:hint="eastAsia" w:ascii="仿宋_GB2312" w:eastAsia="仿宋_GB2312" w:cs="仿宋"/>
          <w:kern w:val="2"/>
          <w:sz w:val="32"/>
          <w:szCs w:val="32"/>
          <w:lang w:val="en-US" w:eastAsia="zh-CN" w:bidi="ar-SA"/>
        </w:rPr>
        <w:t>项目，且项目实际投资进度达到计划总投资额的50%（含）以上的，</w:t>
      </w:r>
      <w:r>
        <w:rPr>
          <w:rFonts w:hint="eastAsia" w:ascii="仿宋_GB2312" w:eastAsia="仿宋_GB2312" w:cs="仿宋_GB2312"/>
          <w:sz w:val="32"/>
          <w:szCs w:val="32"/>
          <w:lang w:eastAsia="zh-CN"/>
        </w:rPr>
        <w:t>可</w:t>
      </w:r>
      <w:r>
        <w:rPr>
          <w:rFonts w:hint="eastAsia" w:ascii="仿宋_GB2312" w:eastAsia="仿宋_GB2312" w:cs="仿宋_GB2312"/>
          <w:sz w:val="32"/>
          <w:szCs w:val="32"/>
          <w:lang w:val="en-US" w:eastAsia="zh-CN"/>
        </w:rPr>
        <w:t>开展阶段性验收。</w:t>
      </w:r>
    </w:p>
    <w:p w14:paraId="1F4C1090">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w:t>
      </w: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）终期验收：适用于已完成全部建设任务，并且达成项目实施方案与补助协议所约定目标的事后奖补项目。</w:t>
      </w:r>
      <w:bookmarkStart w:id="15" w:name="heading_30"/>
    </w:p>
    <w:p w14:paraId="33B00AD3">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auto"/>
          <w:sz w:val="32"/>
          <w:szCs w:val="32"/>
          <w:highlight w:val="none"/>
        </w:rPr>
      </w:pPr>
      <w:r>
        <w:rPr>
          <w:rFonts w:hint="eastAsia" w:ascii="楷体" w:eastAsia="楷体" w:cs="仿宋"/>
          <w:kern w:val="2"/>
          <w:sz w:val="32"/>
          <w:szCs w:val="32"/>
          <w:lang w:val="en-US" w:eastAsia="zh-CN" w:bidi="ar-SA"/>
        </w:rPr>
        <w:t>第二十一条 验收流程</w:t>
      </w:r>
      <w:bookmarkEnd w:id="15"/>
      <w:r>
        <w:rPr>
          <w:rFonts w:ascii="楷体" w:eastAsia="楷体" w:cs="仿宋"/>
          <w:kern w:val="2"/>
          <w:sz w:val="32"/>
          <w:szCs w:val="32"/>
          <w:lang w:val="en-US" w:eastAsia="zh-CN" w:bidi="ar-SA"/>
        </w:rPr>
        <w:t>。</w:t>
      </w:r>
      <w:r>
        <w:rPr>
          <w:rFonts w:ascii="仿宋_GB2312" w:eastAsia="仿宋_GB2312" w:cs="仿宋_GB2312"/>
          <w:color w:val="auto"/>
          <w:sz w:val="32"/>
          <w:szCs w:val="32"/>
          <w:highlight w:val="none"/>
        </w:rPr>
        <w:t>长春</w:t>
      </w:r>
      <w:r>
        <w:rPr>
          <w:rFonts w:hint="eastAsia" w:ascii="仿宋_GB2312" w:eastAsia="仿宋_GB2312" w:cs="仿宋_GB2312"/>
          <w:color w:val="auto"/>
          <w:sz w:val="32"/>
          <w:szCs w:val="32"/>
          <w:highlight w:val="none"/>
        </w:rPr>
        <w:t>市</w:t>
      </w:r>
      <w:r>
        <w:rPr>
          <w:rFonts w:hint="eastAsia" w:ascii="仿宋_GB2312" w:eastAsia="仿宋_GB2312" w:cs="仿宋_GB2312"/>
          <w:color w:val="auto"/>
          <w:sz w:val="32"/>
          <w:szCs w:val="32"/>
          <w:highlight w:val="none"/>
          <w:lang w:eastAsia="zh-CN"/>
        </w:rPr>
        <w:t>消费三新试点项目</w:t>
      </w:r>
      <w:r>
        <w:rPr>
          <w:rFonts w:hint="eastAsia" w:ascii="仿宋_GB2312" w:eastAsia="仿宋_GB2312" w:cs="仿宋_GB2312"/>
          <w:color w:val="auto"/>
          <w:sz w:val="32"/>
          <w:szCs w:val="32"/>
          <w:highlight w:val="none"/>
        </w:rPr>
        <w:t>按照“成熟一批，验收一批”的原则，及时做好项目验收工作。</w:t>
      </w:r>
      <w:r>
        <w:rPr>
          <w:rFonts w:hint="eastAsia" w:ascii="仿宋_GB2312" w:eastAsia="仿宋_GB2312" w:cs="仿宋"/>
          <w:kern w:val="2"/>
          <w:sz w:val="32"/>
          <w:szCs w:val="32"/>
          <w:lang w:val="en-US" w:eastAsia="zh-CN" w:bidi="ar-SA"/>
        </w:rPr>
        <w:t>市商务局会同</w:t>
      </w:r>
      <w:r>
        <w:rPr>
          <w:rFonts w:hint="eastAsia" w:ascii="仿宋_GB2312" w:eastAsia="仿宋_GB2312" w:cs="仿宋"/>
          <w:kern w:val="2"/>
          <w:sz w:val="32"/>
          <w:szCs w:val="32"/>
          <w:highlight w:val="none"/>
          <w:lang w:val="en-US" w:eastAsia="zh-CN" w:bidi="ar-SA"/>
        </w:rPr>
        <w:t>市文广旅局、市体育局</w:t>
      </w:r>
      <w:r>
        <w:rPr>
          <w:rFonts w:hint="eastAsia" w:ascii="仿宋_GB2312" w:eastAsia="仿宋_GB2312" w:cs="仿宋"/>
          <w:sz w:val="32"/>
          <w:szCs w:val="32"/>
          <w:lang w:val="en-US" w:eastAsia="zh-CN"/>
        </w:rPr>
        <w:t>组织</w:t>
      </w:r>
      <w:r>
        <w:rPr>
          <w:rFonts w:hint="eastAsia" w:ascii="仿宋_GB2312" w:eastAsia="仿宋_GB2312" w:cs="仿宋_GB2312"/>
          <w:color w:val="auto"/>
          <w:sz w:val="32"/>
          <w:szCs w:val="32"/>
          <w:highlight w:val="none"/>
        </w:rPr>
        <w:t>项目验收，</w:t>
      </w:r>
      <w:r>
        <w:rPr>
          <w:rFonts w:hint="eastAsia" w:ascii="仿宋_GB2312" w:eastAsia="仿宋_GB2312" w:cs="仿宋_GB2312"/>
          <w:color w:val="auto"/>
          <w:sz w:val="32"/>
          <w:szCs w:val="32"/>
          <w:highlight w:val="none"/>
          <w:lang w:val="en-US" w:eastAsia="zh-CN"/>
        </w:rPr>
        <w:t>独立</w:t>
      </w:r>
      <w:r>
        <w:rPr>
          <w:rFonts w:hint="eastAsia" w:ascii="仿宋_GB2312" w:eastAsia="仿宋_GB2312" w:cs="仿宋_GB2312"/>
          <w:color w:val="auto"/>
          <w:sz w:val="32"/>
          <w:szCs w:val="32"/>
          <w:highlight w:val="none"/>
        </w:rPr>
        <w:t>第三方机构负责实施项目验收</w:t>
      </w:r>
      <w:r>
        <w:rPr>
          <w:rFonts w:hint="eastAsia" w:ascii="仿宋_GB2312" w:eastAsia="仿宋_GB2312" w:cs="仿宋_GB2312"/>
          <w:color w:val="auto"/>
          <w:sz w:val="32"/>
          <w:szCs w:val="32"/>
          <w:highlight w:val="none"/>
          <w:lang w:eastAsia="zh-CN"/>
        </w:rPr>
        <w:t>具体</w:t>
      </w:r>
      <w:r>
        <w:rPr>
          <w:rFonts w:hint="eastAsia" w:ascii="仿宋_GB2312" w:eastAsia="仿宋_GB2312" w:cs="仿宋_GB2312"/>
          <w:color w:val="auto"/>
          <w:sz w:val="32"/>
          <w:szCs w:val="32"/>
          <w:highlight w:val="none"/>
        </w:rPr>
        <w:t>工作。验收流程如下：</w:t>
      </w:r>
    </w:p>
    <w:p w14:paraId="3DC2A23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_GB2312"/>
          <w:color w:val="000000"/>
          <w:sz w:val="32"/>
          <w:szCs w:val="32"/>
          <w:highlight w:val="none"/>
        </w:rPr>
      </w:pPr>
      <w:r>
        <w:rPr>
          <w:rFonts w:hint="eastAsia" w:ascii="仿宋_GB2312" w:eastAsia="仿宋_GB2312" w:cs="仿宋"/>
          <w:kern w:val="2"/>
          <w:sz w:val="32"/>
          <w:szCs w:val="32"/>
          <w:lang w:val="en-US" w:eastAsia="zh-CN" w:bidi="ar-SA"/>
        </w:rPr>
        <w:t>（一）项目单位在满足终期验收或阶段性验收条件后，</w:t>
      </w:r>
      <w:r>
        <w:rPr>
          <w:rFonts w:hint="eastAsia" w:ascii="仿宋_GB2312" w:eastAsia="仿宋_GB2312" w:cs="仿宋_GB2312"/>
          <w:color w:val="000000"/>
          <w:sz w:val="32"/>
          <w:szCs w:val="32"/>
          <w:highlight w:val="none"/>
        </w:rPr>
        <w:t>向属地对应</w:t>
      </w:r>
      <w:r>
        <w:rPr>
          <w:rFonts w:hint="eastAsia" w:ascii="仿宋_GB2312" w:eastAsia="仿宋_GB2312" w:cs="仿宋_GB2312"/>
          <w:color w:val="000000"/>
          <w:sz w:val="32"/>
          <w:szCs w:val="32"/>
          <w:highlight w:val="none"/>
          <w:lang w:val="en-US" w:eastAsia="zh-CN"/>
        </w:rPr>
        <w:t>行业主管</w:t>
      </w:r>
      <w:r>
        <w:rPr>
          <w:rFonts w:hint="eastAsia" w:ascii="仿宋_GB2312" w:eastAsia="仿宋_GB2312" w:cs="仿宋_GB2312"/>
          <w:color w:val="000000"/>
          <w:sz w:val="32"/>
          <w:szCs w:val="32"/>
          <w:highlight w:val="none"/>
        </w:rPr>
        <w:t>部门提出验收申请，并按要求提交相关材料。</w:t>
      </w:r>
    </w:p>
    <w:p w14:paraId="6E503FD0">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（二）</w:t>
      </w:r>
      <w:r>
        <w:rPr>
          <w:rFonts w:hint="eastAsia" w:ascii="仿宋_GB2312" w:eastAsia="仿宋_GB2312" w:cs="仿宋"/>
          <w:kern w:val="2"/>
          <w:sz w:val="32"/>
          <w:szCs w:val="32"/>
          <w:lang w:val="en-US" w:eastAsia="zh-CN" w:bidi="ar-SA"/>
        </w:rPr>
        <w:t>属地商务、文广旅、体育</w:t>
      </w:r>
      <w:r>
        <w:rPr>
          <w:rFonts w:hint="eastAsia" w:ascii="仿宋_GB2312" w:eastAsia="仿宋_GB2312" w:cs="仿宋"/>
          <w:kern w:val="2"/>
          <w:sz w:val="32"/>
          <w:szCs w:val="32"/>
          <w:highlight w:val="none"/>
          <w:lang w:val="en-US" w:eastAsia="zh-CN" w:bidi="ar-SA"/>
        </w:rPr>
        <w:t>等</w:t>
      </w:r>
      <w:r>
        <w:rPr>
          <w:rFonts w:hint="eastAsia" w:ascii="仿宋_GB2312" w:eastAsia="仿宋_GB2312" w:cs="仿宋"/>
          <w:kern w:val="2"/>
          <w:sz w:val="32"/>
          <w:szCs w:val="32"/>
          <w:lang w:val="en-US" w:eastAsia="zh-CN" w:bidi="ar-SA"/>
        </w:rPr>
        <w:t>部门</w:t>
      </w:r>
      <w:r>
        <w:rPr>
          <w:rFonts w:ascii="仿宋_GB2312" w:eastAsia="仿宋_GB2312" w:cs="仿宋"/>
          <w:kern w:val="2"/>
          <w:sz w:val="32"/>
          <w:szCs w:val="32"/>
          <w:lang w:val="en-US" w:eastAsia="zh-CN" w:bidi="ar-SA"/>
        </w:rPr>
        <w:t>，市文广旅局、</w:t>
      </w:r>
      <w:r>
        <w:rPr>
          <w:rFonts w:hint="eastAsia" w:ascii="仿宋_GB2312" w:eastAsia="仿宋_GB2312" w:cs="仿宋"/>
          <w:kern w:val="2"/>
          <w:sz w:val="32"/>
          <w:szCs w:val="32"/>
          <w:lang w:val="en-US" w:eastAsia="zh-CN" w:bidi="ar-SA"/>
        </w:rPr>
        <w:t>市</w:t>
      </w:r>
      <w:r>
        <w:rPr>
          <w:rFonts w:ascii="仿宋_GB2312" w:eastAsia="仿宋_GB2312" w:cs="仿宋"/>
          <w:kern w:val="2"/>
          <w:sz w:val="32"/>
          <w:szCs w:val="32"/>
          <w:lang w:val="en-US" w:eastAsia="zh-CN" w:bidi="ar-SA"/>
        </w:rPr>
        <w:t>体育局</w:t>
      </w:r>
      <w:r>
        <w:rPr>
          <w:rFonts w:hint="eastAsia" w:ascii="仿宋_GB2312" w:eastAsia="仿宋_GB2312" w:cs="仿宋"/>
          <w:kern w:val="2"/>
          <w:sz w:val="32"/>
          <w:szCs w:val="32"/>
          <w:lang w:val="en-US" w:eastAsia="zh-CN" w:bidi="ar-SA"/>
        </w:rPr>
        <w:t>负责对验收材料进行核验。核验合格后，将加盖公章的相关材料报送至市商务局。</w:t>
      </w:r>
    </w:p>
    <w:p w14:paraId="01DC4CE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cs="仿宋"/>
          <w:kern w:val="2"/>
          <w:sz w:val="32"/>
          <w:szCs w:val="32"/>
          <w:lang w:val="en-US" w:eastAsia="zh-CN" w:bidi="ar-SA"/>
        </w:rPr>
      </w:pPr>
      <w:r>
        <w:rPr>
          <w:rFonts w:ascii="仿宋_GB2312" w:eastAsia="仿宋_GB2312" w:cs="仿宋"/>
          <w:kern w:val="2"/>
          <w:sz w:val="32"/>
          <w:szCs w:val="32"/>
          <w:lang w:val="en-US" w:eastAsia="zh-CN" w:bidi="ar-SA"/>
        </w:rPr>
        <w:t>（三）</w:t>
      </w:r>
      <w:r>
        <w:rPr>
          <w:rFonts w:hint="eastAsia" w:ascii="仿宋_GB2312" w:eastAsia="仿宋_GB2312" w:cs="仿宋"/>
          <w:kern w:val="2"/>
          <w:sz w:val="32"/>
          <w:szCs w:val="32"/>
          <w:lang w:val="en-US" w:eastAsia="zh-CN" w:bidi="ar-SA"/>
        </w:rPr>
        <w:t>由市商务局</w:t>
      </w:r>
      <w:r>
        <w:rPr>
          <w:rFonts w:ascii="仿宋_GB2312" w:eastAsia="仿宋_GB2312" w:cs="仿宋"/>
          <w:kern w:val="2"/>
          <w:sz w:val="32"/>
          <w:szCs w:val="32"/>
          <w:lang w:val="en-US" w:eastAsia="zh-CN" w:bidi="ar-SA"/>
        </w:rPr>
        <w:t>委托</w:t>
      </w:r>
      <w:r>
        <w:rPr>
          <w:rFonts w:hint="eastAsia" w:ascii="仿宋_GB2312" w:eastAsia="仿宋_GB2312" w:cs="仿宋"/>
          <w:kern w:val="2"/>
          <w:sz w:val="32"/>
          <w:szCs w:val="32"/>
          <w:lang w:val="en-US" w:eastAsia="zh-CN" w:bidi="ar-SA"/>
        </w:rPr>
        <w:t>独立第三方机构启动项目验收程序。独立第三方机构通过</w:t>
      </w:r>
      <w:r>
        <w:rPr>
          <w:rFonts w:hint="eastAsia" w:ascii="仿宋_GB2312" w:eastAsia="仿宋_GB2312" w:cs="仿宋_GB2312"/>
          <w:color w:val="auto"/>
          <w:sz w:val="32"/>
          <w:szCs w:val="32"/>
          <w:highlight w:val="none"/>
        </w:rPr>
        <w:t>资料审阅、</w:t>
      </w:r>
      <w:r>
        <w:rPr>
          <w:rFonts w:hint="eastAsia" w:ascii="仿宋_GB2312" w:eastAsia="仿宋_GB2312" w:cs="仿宋"/>
          <w:kern w:val="2"/>
          <w:sz w:val="32"/>
          <w:szCs w:val="32"/>
          <w:lang w:val="en-US" w:eastAsia="zh-CN" w:bidi="ar-SA"/>
        </w:rPr>
        <w:t>实地核查、座谈访谈、现场答辩</w:t>
      </w:r>
      <w:r>
        <w:rPr>
          <w:rFonts w:hint="eastAsia" w:ascii="仿宋_GB2312" w:eastAsia="仿宋_GB2312" w:cs="仿宋_GB2312"/>
          <w:color w:val="auto"/>
          <w:sz w:val="32"/>
          <w:szCs w:val="32"/>
          <w:highlight w:val="none"/>
        </w:rPr>
        <w:t>、专家会审等</w:t>
      </w:r>
      <w:r>
        <w:rPr>
          <w:rFonts w:ascii="仿宋_GB2312" w:eastAsia="仿宋_GB2312" w:cs="仿宋_GB2312"/>
          <w:color w:val="auto"/>
          <w:sz w:val="32"/>
          <w:szCs w:val="32"/>
          <w:highlight w:val="none"/>
        </w:rPr>
        <w:t>方式</w:t>
      </w:r>
      <w:r>
        <w:rPr>
          <w:rFonts w:hint="eastAsia" w:ascii="仿宋_GB2312" w:eastAsia="仿宋_GB2312" w:cs="仿宋_GB2312"/>
          <w:color w:val="auto"/>
          <w:sz w:val="32"/>
          <w:szCs w:val="32"/>
          <w:highlight w:val="none"/>
        </w:rPr>
        <w:t>，</w:t>
      </w:r>
      <w:r>
        <w:rPr>
          <w:rFonts w:hint="eastAsia" w:ascii="仿宋_GB2312" w:eastAsia="仿宋_GB2312" w:cs="仿宋"/>
          <w:kern w:val="2"/>
          <w:sz w:val="32"/>
          <w:szCs w:val="32"/>
          <w:lang w:val="en-US" w:eastAsia="zh-CN" w:bidi="ar-SA"/>
        </w:rPr>
        <w:t>对项目建设完成情况进行全面审查</w:t>
      </w:r>
      <w:r>
        <w:rPr>
          <w:rFonts w:ascii="仿宋_GB2312" w:eastAsia="仿宋_GB2312" w:cs="仿宋"/>
          <w:kern w:val="2"/>
          <w:sz w:val="32"/>
          <w:szCs w:val="32"/>
          <w:lang w:val="en-US" w:eastAsia="zh-CN" w:bidi="ar-SA"/>
        </w:rPr>
        <w:t>。</w:t>
      </w:r>
      <w:bookmarkStart w:id="16" w:name="heading_31"/>
    </w:p>
    <w:p w14:paraId="1C5B476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第二十二条 验收内容</w:t>
      </w:r>
      <w:bookmarkEnd w:id="16"/>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验收工作重点核查项目建设内容的完成情况、投资完成情况、资金使用的合规性、绩效目标的达成程度、经济社会效益以及项目管理的规范性等方面展开全面审查。</w:t>
      </w:r>
    </w:p>
    <w:p w14:paraId="51A242A7">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eastAsia="仿宋_GB2312" w:cs="仿宋_GB2312"/>
          <w:color w:val="auto"/>
          <w:sz w:val="32"/>
          <w:szCs w:val="32"/>
          <w:highlight w:val="none"/>
        </w:rPr>
      </w:pPr>
      <w:r>
        <w:rPr>
          <w:rFonts w:hint="eastAsia" w:ascii="楷体" w:eastAsia="楷体" w:cs="仿宋"/>
          <w:bCs/>
          <w:kern w:val="2"/>
          <w:sz w:val="32"/>
          <w:szCs w:val="32"/>
          <w:highlight w:val="none"/>
          <w:lang w:val="en-US" w:eastAsia="zh-CN" w:bidi="ar-SA"/>
        </w:rPr>
        <w:t xml:space="preserve">第二十三条 </w:t>
      </w:r>
      <w:r>
        <w:rPr>
          <w:rFonts w:hint="eastAsia" w:ascii="楷体" w:eastAsia="楷体" w:cs="仿宋"/>
          <w:kern w:val="2"/>
          <w:sz w:val="32"/>
          <w:szCs w:val="32"/>
          <w:highlight w:val="none"/>
          <w:lang w:val="en-US" w:eastAsia="zh-CN" w:bidi="ar-SA"/>
        </w:rPr>
        <w:t>验收结果</w:t>
      </w:r>
      <w:r>
        <w:rPr>
          <w:rFonts w:ascii="楷体" w:eastAsia="楷体" w:cs="仿宋"/>
          <w:kern w:val="2"/>
          <w:sz w:val="32"/>
          <w:szCs w:val="32"/>
          <w:highlight w:val="none"/>
          <w:lang w:val="en-US" w:eastAsia="zh-CN" w:bidi="ar-SA"/>
        </w:rPr>
        <w:t>。</w:t>
      </w:r>
      <w:r>
        <w:rPr>
          <w:rFonts w:hint="eastAsia" w:ascii="仿宋_GB2312" w:eastAsia="仿宋_GB2312" w:cs="仿宋_GB2312"/>
          <w:color w:val="auto"/>
          <w:sz w:val="32"/>
          <w:szCs w:val="32"/>
          <w:highlight w:val="none"/>
          <w:lang w:val="en-US" w:eastAsia="zh-CN"/>
        </w:rPr>
        <w:t>独立第三方机构组织专家开展验收工作，根据验收情况出具“通过”或“不通过”的验收意见，形成验收结果，并由参加验收的人员书面签字确认。验收结束后，独立第三方机构将验收情况形成正式验收报告及资金拨付意见书报送至项目对应市级行业主管部门，</w:t>
      </w:r>
      <w:r>
        <w:rPr>
          <w:rFonts w:hint="eastAsia" w:ascii="仿宋_GB2312" w:eastAsia="仿宋_GB2312" w:cs="仿宋_GB2312"/>
          <w:color w:val="auto"/>
          <w:sz w:val="32"/>
          <w:szCs w:val="32"/>
          <w:highlight w:val="none"/>
        </w:rPr>
        <w:t>市级行业主管部门经党组会议审议通过后，将审核意见以书面形式提交</w:t>
      </w:r>
      <w:r>
        <w:rPr>
          <w:rFonts w:hint="eastAsia" w:ascii="仿宋_GB2312" w:eastAsia="仿宋_GB2312" w:cs="仿宋_GB2312"/>
          <w:color w:val="auto"/>
          <w:sz w:val="32"/>
          <w:szCs w:val="32"/>
          <w:highlight w:val="none"/>
          <w:lang w:val="en-US" w:eastAsia="zh-CN"/>
        </w:rPr>
        <w:t>至</w:t>
      </w:r>
      <w:r>
        <w:rPr>
          <w:rFonts w:hint="eastAsia" w:ascii="仿宋_GB2312" w:eastAsia="仿宋_GB2312" w:cs="仿宋_GB2312"/>
          <w:color w:val="auto"/>
          <w:sz w:val="32"/>
          <w:szCs w:val="32"/>
          <w:highlight w:val="none"/>
        </w:rPr>
        <w:t>市商务局，</w:t>
      </w:r>
      <w:bookmarkStart w:id="17" w:name="heading_32"/>
      <w:r>
        <w:rPr>
          <w:rFonts w:hint="eastAsia" w:ascii="仿宋_GB2312" w:eastAsia="仿宋_GB2312" w:cs="仿宋_GB2312"/>
          <w:color w:val="auto"/>
          <w:sz w:val="32"/>
          <w:szCs w:val="32"/>
          <w:highlight w:val="none"/>
        </w:rPr>
        <w:t>由市商务局汇总审核意见并在长春市人民政府官网“部门信息公开”专栏进行公示，公示期不少于7天，并向长春市提振消费专班相关成员单位发送公示的工作函。未经市级行业主管部门书面确认的审核意见无效。</w:t>
      </w:r>
    </w:p>
    <w:p w14:paraId="46478CD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center"/>
        <w:textAlignment w:val="auto"/>
        <w:rPr>
          <w:rFonts w:hint="eastAsia" w:ascii="黑体" w:eastAsia="黑体" w:cs="黑体"/>
          <w:kern w:val="2"/>
          <w:sz w:val="32"/>
          <w:szCs w:val="32"/>
          <w:lang w:val="en-US" w:eastAsia="zh-CN" w:bidi="ar-SA"/>
        </w:rPr>
      </w:pPr>
      <w:r>
        <w:rPr>
          <w:rFonts w:ascii="黑体" w:eastAsia="黑体" w:cs="黑体"/>
          <w:kern w:val="2"/>
          <w:sz w:val="32"/>
          <w:szCs w:val="32"/>
          <w:lang w:val="en-US" w:eastAsia="zh-CN" w:bidi="ar-SA"/>
        </w:rPr>
        <w:t>第</w:t>
      </w:r>
      <w:r>
        <w:rPr>
          <w:rFonts w:hint="eastAsia" w:ascii="黑体" w:eastAsia="黑体" w:cs="黑体"/>
          <w:kern w:val="2"/>
          <w:sz w:val="32"/>
          <w:szCs w:val="32"/>
          <w:lang w:val="en-US" w:eastAsia="zh-CN" w:bidi="ar-SA"/>
        </w:rPr>
        <w:t>六</w:t>
      </w:r>
      <w:r>
        <w:rPr>
          <w:rFonts w:ascii="黑体" w:eastAsia="黑体" w:cs="黑体"/>
          <w:kern w:val="2"/>
          <w:sz w:val="32"/>
          <w:szCs w:val="32"/>
          <w:lang w:val="en-US" w:eastAsia="zh-CN" w:bidi="ar-SA"/>
        </w:rPr>
        <w:t xml:space="preserve">章 </w:t>
      </w:r>
      <w:r>
        <w:rPr>
          <w:rFonts w:hint="eastAsia" w:ascii="黑体" w:eastAsia="黑体" w:cs="黑体"/>
          <w:kern w:val="2"/>
          <w:sz w:val="32"/>
          <w:szCs w:val="32"/>
          <w:lang w:val="en-US" w:eastAsia="zh-CN" w:bidi="ar-SA"/>
        </w:rPr>
        <w:t xml:space="preserve"> 项目监督管理</w:t>
      </w:r>
      <w:bookmarkEnd w:id="17"/>
      <w:bookmarkStart w:id="18" w:name="heading_33"/>
    </w:p>
    <w:p w14:paraId="5BB4653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第二十四条 监督机制</w:t>
      </w:r>
      <w:bookmarkEnd w:id="18"/>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构建“政府监督、第三方监督、企业自评”三位一体的监督体系，切实加强消费三新试点项目全流程监督管理。</w:t>
      </w:r>
    </w:p>
    <w:p w14:paraId="424E8744">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政府监督：商务、文广旅、体育等部门应切实履行监管职责，构建完善项目全流程监督管理机制。通过定期检查与专项核查相结合，强化对项目实施进度、建设质量及资金使用的监督检查，及时发现并督促整改问题，保障项目规范有序推进。同时需配合审计等部门开展专项审计，形成监管合力。</w:t>
      </w:r>
    </w:p>
    <w:p w14:paraId="3992C44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highlight w:val="none"/>
          <w:lang w:val="en-US" w:eastAsia="zh-CN" w:bidi="ar-SA"/>
        </w:rPr>
        <w:t>（二）第三方监督：独立第三方机构根据工作需要开展现场核查，重点核查项目建设内容一致性，及时向市商务局报送核查报告；同步负责项目验收审计工作，按规定出具审计报告。</w:t>
      </w:r>
    </w:p>
    <w:p w14:paraId="29828691">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三）企业自我评估：项目单位作为绩效管理责任主体，须严格依照申报方案推进项目建设。项目中期或完工后应开展自我评估，及时发现并整改问题以确保绩效目标实现。自评材料需经企业主要负责人、部门负责人或项目执行负责人签字确认同验收材料一并递交。</w:t>
      </w:r>
      <w:bookmarkStart w:id="19" w:name="heading_35"/>
    </w:p>
    <w:p w14:paraId="2FFBA49A">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第二十五条 追责机制</w:t>
      </w:r>
      <w:bookmarkEnd w:id="19"/>
      <w:r>
        <w:rPr>
          <w:rFonts w:ascii="楷体" w:eastAsia="楷体" w:cs="仿宋"/>
          <w:kern w:val="2"/>
          <w:sz w:val="32"/>
          <w:szCs w:val="32"/>
          <w:lang w:val="en-US" w:eastAsia="zh-CN" w:bidi="ar-SA"/>
        </w:rPr>
        <w:t>。</w:t>
      </w:r>
    </w:p>
    <w:p w14:paraId="39202810">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（一）各级行政管理部门及其工作人员在项目申报、评审、资金拨付、监管等工作中，违反本办法规定或存在滥用职权、玩忽职守、徇私舞弊等违法违纪行为的，依法依规查处。</w:t>
      </w:r>
    </w:p>
    <w:p w14:paraId="2BB0C032">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highlight w:val="none"/>
          <w:lang w:val="en-US" w:eastAsia="zh-CN" w:bidi="ar-SA"/>
        </w:rPr>
      </w:pPr>
      <w:r>
        <w:rPr>
          <w:rFonts w:hint="eastAsia" w:ascii="仿宋_GB2312" w:eastAsia="仿宋_GB2312" w:cs="仿宋"/>
          <w:kern w:val="2"/>
          <w:sz w:val="32"/>
          <w:szCs w:val="32"/>
          <w:lang w:val="en-US" w:eastAsia="zh-CN" w:bidi="ar-SA"/>
        </w:rPr>
        <w:t>（二）项目单位、相关组织及个人在项目申报、实施以及资金使用过程中，若存在虚报、骗取、截留、挤占、挪用专项资金等违法违规行为，经查实后，将依照法律法规进行处理并追回已拨付的补助资金，</w:t>
      </w:r>
      <w:r>
        <w:rPr>
          <w:rFonts w:hint="eastAsia" w:ascii="Times New Roman" w:hAnsi="Times New Roman" w:eastAsia="仿宋_GB2312" w:cs="Times New Roman"/>
          <w:sz w:val="32"/>
          <w:szCs w:val="32"/>
          <w:lang w:val="en-US" w:eastAsia="zh-CN" w:bidi="ar-SA"/>
        </w:rPr>
        <w:t>构成犯罪的，依法追究刑事责任</w:t>
      </w:r>
      <w:r>
        <w:rPr>
          <w:rFonts w:hint="eastAsia" w:ascii="仿宋_GB2312" w:eastAsia="仿宋_GB2312" w:cs="仿宋"/>
          <w:kern w:val="2"/>
          <w:sz w:val="32"/>
          <w:szCs w:val="32"/>
          <w:highlight w:val="none"/>
          <w:lang w:val="en-US" w:eastAsia="zh-CN" w:bidi="ar-SA"/>
        </w:rPr>
        <w:t>。</w:t>
      </w:r>
      <w:bookmarkStart w:id="20" w:name="heading_36"/>
    </w:p>
    <w:p w14:paraId="3C536359">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ascii="楷体" w:eastAsia="楷体" w:cs="仿宋"/>
          <w:kern w:val="2"/>
          <w:sz w:val="32"/>
          <w:szCs w:val="32"/>
          <w:lang w:val="en-US" w:eastAsia="zh-CN" w:bidi="ar-SA"/>
        </w:rPr>
      </w:pPr>
      <w:r>
        <w:rPr>
          <w:rFonts w:hint="eastAsia" w:ascii="楷体" w:eastAsia="楷体" w:cs="仿宋"/>
          <w:kern w:val="2"/>
          <w:sz w:val="32"/>
          <w:szCs w:val="32"/>
          <w:lang w:val="en-US" w:eastAsia="zh-CN" w:bidi="ar-SA"/>
        </w:rPr>
        <w:t>第二十六条 进度报送与信息公开</w:t>
      </w:r>
      <w:bookmarkEnd w:id="20"/>
      <w:r>
        <w:rPr>
          <w:rFonts w:ascii="楷体" w:eastAsia="楷体" w:cs="仿宋"/>
          <w:kern w:val="2"/>
          <w:sz w:val="32"/>
          <w:szCs w:val="32"/>
          <w:lang w:val="en-US" w:eastAsia="zh-CN" w:bidi="ar-SA"/>
        </w:rPr>
        <w:t>。</w:t>
      </w:r>
    </w:p>
    <w:p w14:paraId="35E2ACDB">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（一）进度报送：项目单位须配合独立第三方机构开展进度核实、评估验收、绩效评价及指标统计工作，按要求提供相关文件资料，不得干扰核查工作。</w:t>
      </w:r>
    </w:p>
    <w:p w14:paraId="2E1DBB16">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仿宋_GB2312" w:eastAsia="仿宋_GB2312" w:cs="仿宋"/>
          <w:kern w:val="2"/>
          <w:sz w:val="32"/>
          <w:szCs w:val="32"/>
          <w:lang w:val="en-US" w:eastAsia="zh-CN" w:bidi="ar-SA"/>
        </w:rPr>
        <w:t>（二）公开公示：市商务局严格依照工作要求，通过长春市人民政府官网“部门信息公开”专栏进行公示项目申报通知及评审结果等信息。</w:t>
      </w:r>
      <w:bookmarkStart w:id="21" w:name="heading_42"/>
    </w:p>
    <w:p w14:paraId="6CFCB142">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jc w:val="center"/>
        <w:textAlignment w:val="auto"/>
        <w:rPr>
          <w:rFonts w:hint="eastAsia" w:ascii="黑体" w:eastAsia="黑体" w:cs="黑体"/>
          <w:kern w:val="2"/>
          <w:sz w:val="32"/>
          <w:szCs w:val="32"/>
          <w:lang w:val="en-US" w:eastAsia="zh-CN" w:bidi="ar-SA"/>
        </w:rPr>
      </w:pPr>
      <w:r>
        <w:rPr>
          <w:rFonts w:ascii="黑体" w:eastAsia="黑体" w:cs="黑体"/>
          <w:kern w:val="2"/>
          <w:sz w:val="32"/>
          <w:szCs w:val="32"/>
          <w:lang w:val="en-US" w:eastAsia="zh-CN" w:bidi="ar-SA"/>
        </w:rPr>
        <w:t>第</w:t>
      </w:r>
      <w:r>
        <w:rPr>
          <w:rFonts w:hint="eastAsia" w:ascii="黑体" w:eastAsia="黑体" w:cs="黑体"/>
          <w:kern w:val="2"/>
          <w:sz w:val="32"/>
          <w:szCs w:val="32"/>
          <w:lang w:val="en-US" w:eastAsia="zh-CN" w:bidi="ar-SA"/>
        </w:rPr>
        <w:t>七</w:t>
      </w:r>
      <w:r>
        <w:rPr>
          <w:rFonts w:ascii="黑体" w:eastAsia="黑体" w:cs="黑体"/>
          <w:kern w:val="2"/>
          <w:sz w:val="32"/>
          <w:szCs w:val="32"/>
          <w:lang w:val="en-US" w:eastAsia="zh-CN" w:bidi="ar-SA"/>
        </w:rPr>
        <w:t>章</w:t>
      </w:r>
      <w:r>
        <w:rPr>
          <w:rFonts w:hint="eastAsia" w:ascii="黑体" w:eastAsia="黑体" w:cs="黑体"/>
          <w:kern w:val="2"/>
          <w:sz w:val="32"/>
          <w:szCs w:val="32"/>
          <w:lang w:val="en-US" w:eastAsia="zh-CN" w:bidi="ar-SA"/>
        </w:rPr>
        <w:t xml:space="preserve"> </w:t>
      </w:r>
      <w:r>
        <w:rPr>
          <w:rFonts w:ascii="黑体" w:eastAsia="黑体" w:cs="黑体"/>
          <w:kern w:val="2"/>
          <w:sz w:val="32"/>
          <w:szCs w:val="32"/>
          <w:lang w:val="en-US" w:eastAsia="zh-CN" w:bidi="ar-SA"/>
        </w:rPr>
        <w:t xml:space="preserve"> </w:t>
      </w:r>
      <w:r>
        <w:rPr>
          <w:rFonts w:hint="eastAsia" w:ascii="黑体" w:eastAsia="黑体" w:cs="黑体"/>
          <w:kern w:val="2"/>
          <w:sz w:val="32"/>
          <w:szCs w:val="32"/>
          <w:lang w:val="en-US" w:eastAsia="zh-CN" w:bidi="ar-SA"/>
        </w:rPr>
        <w:t>附则</w:t>
      </w:r>
      <w:bookmarkEnd w:id="21"/>
      <w:bookmarkStart w:id="22" w:name="heading_46"/>
    </w:p>
    <w:p w14:paraId="6086DD48">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s="仿宋"/>
          <w:kern w:val="2"/>
          <w:sz w:val="32"/>
          <w:szCs w:val="32"/>
          <w:lang w:val="en-US" w:eastAsia="zh-CN" w:bidi="ar-SA"/>
        </w:rPr>
      </w:pPr>
      <w:r>
        <w:rPr>
          <w:rFonts w:hint="eastAsia" w:ascii="楷体" w:eastAsia="楷体" w:cs="仿宋"/>
          <w:kern w:val="2"/>
          <w:sz w:val="32"/>
          <w:szCs w:val="32"/>
          <w:lang w:val="en-US" w:eastAsia="zh-CN" w:bidi="ar-SA"/>
        </w:rPr>
        <w:t>第二十七条</w:t>
      </w:r>
      <w:bookmarkEnd w:id="22"/>
      <w:bookmarkStart w:id="23" w:name="heading_48"/>
      <w:r>
        <w:rPr>
          <w:rFonts w:hint="eastAsia" w:ascii="楷体" w:eastAsia="楷体" w:cs="仿宋"/>
          <w:kern w:val="2"/>
          <w:sz w:val="32"/>
          <w:szCs w:val="32"/>
          <w:lang w:val="en-US" w:eastAsia="zh-CN" w:bidi="ar-SA"/>
        </w:rPr>
        <w:t xml:space="preserve"> 补充调整</w:t>
      </w:r>
      <w:bookmarkEnd w:id="23"/>
      <w:r>
        <w:rPr>
          <w:rFonts w:ascii="楷体" w:eastAsia="楷体" w:cs="仿宋"/>
          <w:kern w:val="2"/>
          <w:sz w:val="32"/>
          <w:szCs w:val="32"/>
          <w:lang w:val="en-US" w:eastAsia="zh-CN" w:bidi="ar-SA"/>
        </w:rPr>
        <w:t>。</w:t>
      </w:r>
      <w:r>
        <w:rPr>
          <w:rFonts w:hint="eastAsia" w:ascii="仿宋_GB2312" w:eastAsia="仿宋_GB2312" w:cs="仿宋"/>
          <w:kern w:val="2"/>
          <w:sz w:val="32"/>
          <w:szCs w:val="32"/>
          <w:lang w:val="en-US" w:eastAsia="zh-CN" w:bidi="ar-SA"/>
        </w:rPr>
        <w:t>本办法实施过程中，如遇专项资金规模调整、支持方向优化或政策调整等情况，由长春市商务局会同相关部门共同研究后，以补充通知形式予以调整。</w:t>
      </w:r>
      <w:bookmarkStart w:id="24" w:name="heading_49"/>
    </w:p>
    <w:bookmarkEnd w:id="24"/>
    <w:p w14:paraId="2C1F4D15">
      <w:pPr>
        <w:pStyle w:val="11"/>
        <w:keepNext w:val="0"/>
        <w:keepLines w:val="0"/>
        <w:pageBreakBefore w:val="0"/>
        <w:widowControl w:val="0"/>
        <w:pBdr>
          <w:top w:val="none" w:color="000000" w:sz="0" w:space="0"/>
          <w:left w:val="none" w:color="000000" w:sz="0" w:space="0"/>
          <w:bottom w:val="none" w:color="000000" w:sz="0" w:space="20"/>
          <w:right w:val="none" w:color="000000" w:sz="0" w:space="0"/>
        </w:pBdr>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lang w:val="en-US" w:eastAsia="zh-CN"/>
        </w:rPr>
      </w:pPr>
      <w:r>
        <w:rPr>
          <w:rFonts w:hint="eastAsia" w:ascii="楷体" w:eastAsia="楷体" w:cs="仿宋"/>
          <w:kern w:val="2"/>
          <w:sz w:val="32"/>
          <w:szCs w:val="32"/>
          <w:lang w:val="en-US" w:eastAsia="zh-CN" w:bidi="ar-SA"/>
        </w:rPr>
        <w:t>第二十八条 生效与解释。</w:t>
      </w:r>
      <w:r>
        <w:rPr>
          <w:rFonts w:hint="eastAsia" w:ascii="仿宋_GB2312" w:eastAsia="仿宋_GB2312" w:cs="仿宋"/>
          <w:kern w:val="2"/>
          <w:sz w:val="32"/>
          <w:szCs w:val="32"/>
          <w:lang w:val="en-US" w:eastAsia="zh-CN" w:bidi="ar-SA"/>
        </w:rPr>
        <w:t>本办法自发布之日起施行，有效期至长春市消费三新试点项目工作结束。本办法由市商务局、市文广旅局、市体育局负责解释。实施过程中，如与国家及省级相关文件规定存在不一致之处，以国家及省级文件为准。</w:t>
      </w:r>
    </w:p>
    <w:sectPr>
      <w:footerReference r:id="rId3" w:type="default"/>
      <w:footerReference r:id="rId4" w:type="even"/>
      <w:pgSz w:w="11905" w:h="16840"/>
      <w:pgMar w:top="2154" w:right="1474" w:bottom="1984" w:left="1531" w:header="720" w:footer="720"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8053BB-DEF4-4E6E-86E6-A19EF0BC1B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46639143-001E-4EE1-933A-3CF12CF2E158}"/>
  </w:font>
  <w:font w:name="楷体">
    <w:panose1 w:val="02010609060101010101"/>
    <w:charset w:val="86"/>
    <w:family w:val="auto"/>
    <w:pitch w:val="default"/>
    <w:sig w:usb0="800002BF" w:usb1="38CF7CFA" w:usb2="00000016" w:usb3="00000000" w:csb0="00040001" w:csb1="00000000"/>
    <w:embedRegular r:id="rId3" w:fontKey="{B87E02F9-AB7C-418B-9D77-E086E2CB05E9}"/>
  </w:font>
  <w:font w:name="仿宋_GB2312">
    <w:panose1 w:val="02010609030101010101"/>
    <w:charset w:val="86"/>
    <w:family w:val="auto"/>
    <w:pitch w:val="default"/>
    <w:sig w:usb0="00000001" w:usb1="080E0000" w:usb2="00000000" w:usb3="00000000" w:csb0="00040000" w:csb1="00000000"/>
    <w:embedRegular r:id="rId4" w:fontKey="{2940CB3F-A08E-4C73-A140-C878A5683A5D}"/>
  </w:font>
  <w:font w:name="仿宋">
    <w:panose1 w:val="02010609060101010101"/>
    <w:charset w:val="86"/>
    <w:family w:val="auto"/>
    <w:pitch w:val="default"/>
    <w:sig w:usb0="800002BF" w:usb1="38CF7CFA" w:usb2="00000016" w:usb3="00000000" w:csb0="00040001" w:csb1="00000000"/>
    <w:embedRegular r:id="rId5" w:fontKey="{7ED81D35-3EA5-4186-B6B7-F6CC07FC8D20}"/>
  </w:font>
  <w:font w:name="方正楷体_GB2312">
    <w:panose1 w:val="02000000000000000000"/>
    <w:charset w:val="86"/>
    <w:family w:val="auto"/>
    <w:pitch w:val="default"/>
    <w:sig w:usb0="A00002BF" w:usb1="184F6CFA" w:usb2="00000012" w:usb3="00000000" w:csb0="00040001" w:csb1="00000000"/>
    <w:embedRegular r:id="rId6" w:fontKey="{AECC0851-7753-42B3-ADB3-62476963ABA3}"/>
  </w:font>
  <w:font w:name="WPSEMBED1">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81DD">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374C8">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2374C8">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B14E">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0"/>
      </w:rPr>
      <w:fldChar w:fldCharType="begin"/>
    </w:r>
    <w:r>
      <w:rPr>
        <w:rStyle w:val="10"/>
      </w:rPr>
      <w:instrText xml:space="preserve">Page</w:instrText>
    </w:r>
    <w:r>
      <w:rPr>
        <w:rStyle w:val="10"/>
      </w:rPr>
      <w:fldChar w:fldCharType="separate"/>
    </w:r>
    <w:r>
      <w:rPr>
        <w:rStyle w:val="10"/>
      </w:rPr>
      <w:t>1</w:t>
    </w:r>
    <w:r>
      <w:rPr>
        <w:rStyle w:val="10"/>
      </w:rPr>
      <w:fldChar w:fldCharType="end"/>
    </w:r>
  </w:p>
  <w:p w14:paraId="0DE907B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hdrShapeDefaults>
    <o:shapelayout v:ext="edit">
      <o:idmap v:ext="edit" data="3,4"/>
    </o:shapelayout>
  </w:hdrShapeDefaults>
  <w:compat>
    <w:spaceForUL/>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65B6"/>
    <w:rsid w:val="01685D8B"/>
    <w:rsid w:val="021F4265"/>
    <w:rsid w:val="02914ADB"/>
    <w:rsid w:val="036726AC"/>
    <w:rsid w:val="03B64756"/>
    <w:rsid w:val="043B2EAD"/>
    <w:rsid w:val="048900BC"/>
    <w:rsid w:val="05125765"/>
    <w:rsid w:val="05654685"/>
    <w:rsid w:val="063B3638"/>
    <w:rsid w:val="066A22A6"/>
    <w:rsid w:val="06BF10D8"/>
    <w:rsid w:val="07BB26DB"/>
    <w:rsid w:val="08BF37EF"/>
    <w:rsid w:val="092F40C7"/>
    <w:rsid w:val="09BB627A"/>
    <w:rsid w:val="09D27E0F"/>
    <w:rsid w:val="09E2121D"/>
    <w:rsid w:val="0C69503C"/>
    <w:rsid w:val="0CC17C52"/>
    <w:rsid w:val="0DC51F28"/>
    <w:rsid w:val="0E1C297E"/>
    <w:rsid w:val="0F7E08B8"/>
    <w:rsid w:val="109C2F25"/>
    <w:rsid w:val="10F92125"/>
    <w:rsid w:val="10FD29EF"/>
    <w:rsid w:val="12A77577"/>
    <w:rsid w:val="12F92A37"/>
    <w:rsid w:val="13D37A6A"/>
    <w:rsid w:val="140E3559"/>
    <w:rsid w:val="141E2748"/>
    <w:rsid w:val="14271CC8"/>
    <w:rsid w:val="145713E4"/>
    <w:rsid w:val="150037F1"/>
    <w:rsid w:val="15250111"/>
    <w:rsid w:val="15B91E83"/>
    <w:rsid w:val="16005D04"/>
    <w:rsid w:val="160B2E5C"/>
    <w:rsid w:val="16C96AA7"/>
    <w:rsid w:val="172A779C"/>
    <w:rsid w:val="175D0752"/>
    <w:rsid w:val="176302F9"/>
    <w:rsid w:val="179E57D5"/>
    <w:rsid w:val="18013BD9"/>
    <w:rsid w:val="18365A0D"/>
    <w:rsid w:val="187C1BE1"/>
    <w:rsid w:val="18BF504F"/>
    <w:rsid w:val="19A846E9"/>
    <w:rsid w:val="19F56E14"/>
    <w:rsid w:val="1AAA2EB8"/>
    <w:rsid w:val="1C84143D"/>
    <w:rsid w:val="1CAA1BF4"/>
    <w:rsid w:val="1CB2575D"/>
    <w:rsid w:val="1D0E087C"/>
    <w:rsid w:val="1D774AFE"/>
    <w:rsid w:val="1D9B6A3E"/>
    <w:rsid w:val="1DFC54D6"/>
    <w:rsid w:val="1EA305EF"/>
    <w:rsid w:val="1EE241F9"/>
    <w:rsid w:val="200D0099"/>
    <w:rsid w:val="20961B70"/>
    <w:rsid w:val="21F42F2A"/>
    <w:rsid w:val="22137736"/>
    <w:rsid w:val="230839DB"/>
    <w:rsid w:val="231449F5"/>
    <w:rsid w:val="23241284"/>
    <w:rsid w:val="239B0E1A"/>
    <w:rsid w:val="254E25E8"/>
    <w:rsid w:val="25911B86"/>
    <w:rsid w:val="25FC567F"/>
    <w:rsid w:val="261C6242"/>
    <w:rsid w:val="28FE268B"/>
    <w:rsid w:val="2930020A"/>
    <w:rsid w:val="2BA41D4A"/>
    <w:rsid w:val="2CA51EF1"/>
    <w:rsid w:val="2CF969EE"/>
    <w:rsid w:val="2D063D5B"/>
    <w:rsid w:val="2D5001B8"/>
    <w:rsid w:val="2DBF4882"/>
    <w:rsid w:val="2E0979F4"/>
    <w:rsid w:val="2E126813"/>
    <w:rsid w:val="300A1801"/>
    <w:rsid w:val="304932B5"/>
    <w:rsid w:val="308930C5"/>
    <w:rsid w:val="314E5C07"/>
    <w:rsid w:val="324E4B13"/>
    <w:rsid w:val="32B540BF"/>
    <w:rsid w:val="34FE6CDE"/>
    <w:rsid w:val="35DB6085"/>
    <w:rsid w:val="35F56A7D"/>
    <w:rsid w:val="369A3EC3"/>
    <w:rsid w:val="36AA02C8"/>
    <w:rsid w:val="373678DA"/>
    <w:rsid w:val="37621F23"/>
    <w:rsid w:val="377F2026"/>
    <w:rsid w:val="378D5AE2"/>
    <w:rsid w:val="379963C7"/>
    <w:rsid w:val="3825367C"/>
    <w:rsid w:val="386E4834"/>
    <w:rsid w:val="3A4122C4"/>
    <w:rsid w:val="3A4A1141"/>
    <w:rsid w:val="3A9034BA"/>
    <w:rsid w:val="3ACC5F8D"/>
    <w:rsid w:val="3B44115B"/>
    <w:rsid w:val="3BC46017"/>
    <w:rsid w:val="3C196F41"/>
    <w:rsid w:val="3C7C0533"/>
    <w:rsid w:val="3E133F77"/>
    <w:rsid w:val="3E3D0FF4"/>
    <w:rsid w:val="3E622809"/>
    <w:rsid w:val="3F0062A9"/>
    <w:rsid w:val="40045ED8"/>
    <w:rsid w:val="405E227E"/>
    <w:rsid w:val="40AF61D9"/>
    <w:rsid w:val="41A4002A"/>
    <w:rsid w:val="425D7EB7"/>
    <w:rsid w:val="42D02437"/>
    <w:rsid w:val="45076175"/>
    <w:rsid w:val="45962735"/>
    <w:rsid w:val="47812B1E"/>
    <w:rsid w:val="48284AC3"/>
    <w:rsid w:val="486B6297"/>
    <w:rsid w:val="48751C31"/>
    <w:rsid w:val="4B6A3785"/>
    <w:rsid w:val="4BD905AE"/>
    <w:rsid w:val="4C9A6A15"/>
    <w:rsid w:val="4D4B1038"/>
    <w:rsid w:val="4D4E28D6"/>
    <w:rsid w:val="4E2078E8"/>
    <w:rsid w:val="4EFD1556"/>
    <w:rsid w:val="4F132BF5"/>
    <w:rsid w:val="4F1F277C"/>
    <w:rsid w:val="4F4F436F"/>
    <w:rsid w:val="4F9B28CC"/>
    <w:rsid w:val="4FB05669"/>
    <w:rsid w:val="5012408F"/>
    <w:rsid w:val="51473C5A"/>
    <w:rsid w:val="51B71B53"/>
    <w:rsid w:val="51B73895"/>
    <w:rsid w:val="51FA74D0"/>
    <w:rsid w:val="5338205E"/>
    <w:rsid w:val="533F51F4"/>
    <w:rsid w:val="53F11E3A"/>
    <w:rsid w:val="54055682"/>
    <w:rsid w:val="55B014D8"/>
    <w:rsid w:val="562D2406"/>
    <w:rsid w:val="56412BFB"/>
    <w:rsid w:val="56420B7A"/>
    <w:rsid w:val="572A7A01"/>
    <w:rsid w:val="584B1819"/>
    <w:rsid w:val="59C63F80"/>
    <w:rsid w:val="59FE68ED"/>
    <w:rsid w:val="5BA947BE"/>
    <w:rsid w:val="5C2A569D"/>
    <w:rsid w:val="5CFF3BED"/>
    <w:rsid w:val="5D071C74"/>
    <w:rsid w:val="5D7B651D"/>
    <w:rsid w:val="5E055C15"/>
    <w:rsid w:val="5E2A6A47"/>
    <w:rsid w:val="5EEB267A"/>
    <w:rsid w:val="5F8C2AF4"/>
    <w:rsid w:val="5F993E84"/>
    <w:rsid w:val="5FAB440D"/>
    <w:rsid w:val="60B61BD2"/>
    <w:rsid w:val="613F5D6A"/>
    <w:rsid w:val="61704779"/>
    <w:rsid w:val="61F028D4"/>
    <w:rsid w:val="62D654B9"/>
    <w:rsid w:val="62F2290D"/>
    <w:rsid w:val="634A4B12"/>
    <w:rsid w:val="639D5F0D"/>
    <w:rsid w:val="652C7549"/>
    <w:rsid w:val="65341B8C"/>
    <w:rsid w:val="663D230C"/>
    <w:rsid w:val="66C45DB5"/>
    <w:rsid w:val="67957627"/>
    <w:rsid w:val="67AB5C28"/>
    <w:rsid w:val="67C25F42"/>
    <w:rsid w:val="694926E6"/>
    <w:rsid w:val="6A6558EF"/>
    <w:rsid w:val="6A6A1802"/>
    <w:rsid w:val="6B4A522D"/>
    <w:rsid w:val="6B9E05AF"/>
    <w:rsid w:val="6BBB5183"/>
    <w:rsid w:val="6C97174C"/>
    <w:rsid w:val="6CFF5E52"/>
    <w:rsid w:val="6DB413BA"/>
    <w:rsid w:val="6DDF3327"/>
    <w:rsid w:val="6E093B0B"/>
    <w:rsid w:val="70766882"/>
    <w:rsid w:val="70B329FD"/>
    <w:rsid w:val="7110138E"/>
    <w:rsid w:val="72A921D9"/>
    <w:rsid w:val="72F861B0"/>
    <w:rsid w:val="73296A9B"/>
    <w:rsid w:val="74C62534"/>
    <w:rsid w:val="75220020"/>
    <w:rsid w:val="752E5F0F"/>
    <w:rsid w:val="76E25CB9"/>
    <w:rsid w:val="770E5E45"/>
    <w:rsid w:val="775D24EC"/>
    <w:rsid w:val="77F05CD9"/>
    <w:rsid w:val="78015A34"/>
    <w:rsid w:val="785D5F3F"/>
    <w:rsid w:val="787A3ED4"/>
    <w:rsid w:val="78D6184E"/>
    <w:rsid w:val="78EB2DAE"/>
    <w:rsid w:val="78FD2141"/>
    <w:rsid w:val="7B9854E0"/>
    <w:rsid w:val="7BE6624C"/>
    <w:rsid w:val="7E060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b2a556bd-a90e-42b3-b2b8-d29d62b15288</errorID>
      <errorWord>、以及</errorWord>
      <group>L1_Punc</group>
      <groupName>标点问题</groupName>
      <ability>L2_Punc</ability>
      <abilityName>标点符号检查</abilityName>
      <candidateList>
        <item>，以及</item>
      </candidateList>
      <explain>连接词前后不宜使用顿号，建议使用逗号。</explain>
      <paraID>10E4354E</paraID>
      <start>35</start>
      <end>39</end>
      <status>modified</status>
      <modifiedWord>，以及</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bf4f7-5337-4356-be78-e99cbc3d0767}">
  <ds:schemaRefs/>
</ds:datastoreItem>
</file>

<file path=docProps/app.xml><?xml version="1.0" encoding="utf-8"?>
<Properties xmlns="http://schemas.openxmlformats.org/officeDocument/2006/extended-properties" xmlns:vt="http://schemas.openxmlformats.org/officeDocument/2006/docPropsVTypes">
  <Template>Normal.eit</Template>
  <Pages>19</Pages>
  <Words>8919</Words>
  <Characters>9006</Characters>
  <Lines>351</Lines>
  <Paragraphs>115</Paragraphs>
  <TotalTime>0</TotalTime>
  <ScaleCrop>false</ScaleCrop>
  <LinksUpToDate>false</LinksUpToDate>
  <CharactersWithSpaces>9050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2026-02-14T07:21:00Z</dcterms:created>
  <dc:creator>Apache POI</dc:creator>
  <cp:lastModifiedBy></cp:lastModifiedBy>
  <cp:lastPrinted>2026-02-28T08:18:00Z</cp:lastPrinted>
  <dcterms:modified xsi:type="dcterms:W3CDTF">2026-03-11T08:16:10Z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eyJoZGlkIjoiZDFiYmY4ZTJlYTUzZTgwOTIyZmJjNmNiYjdmNDQ4NzAiLCJ1c2VySWQiOiIzNDQ0NDg0MDIifQ==</vt:lpwstr>
  </property>
  <property fmtid="{D5CDD505-2E9C-101B-9397-08002B2CF9AE}" pid="3" name="KSOProductBuildVer">
    <vt:lpwstr>2052-12.1.0.25225</vt:lpwstr>
  </property>
  <property fmtid="{D5CDD505-2E9C-101B-9397-08002B2CF9AE}" pid="4" name="ICV">
    <vt:lpwstr>C2298D491B6B41508838EB933E7DFEF7_13</vt:lpwstr>
  </property>
</Properties>
</file>